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7b FMStBG — Schaffung eines genehmigten Kapitals durch die Hauptversammlung</w:t>
      </w:r>
    </w:p>
    <w:p>
      <w:r>
        <w:rPr>
          <w:color w:val="555555"/>
          <w:sz w:val="18"/>
        </w:rPr>
        <w:t xml:space="preserve">Wirtschaftsstabilisierungsbeschleunigungsgesetz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Der Beschluss der Hauptversammlung, mit dem der Vorstand ermächtigt wird, im Zusammenhang mit einer Rekapitalisierung nach § 7 oder § 22 des Stabilisierungsfondsgesetzes das Grundkapital bis zu einem bestimmten Nennbetrag durch Ausgabe neuer Aktien gegen Einlagen zu erhöhen (§ 202 Absatz 2 des Aktiengesetzes), bedarf einer Mehrheit der abgegebenen Stimmen. Abweichende Satzungsbestimmungen sind unbeachtlich. § 202 Absatz 3 Satz 1 des Aktiengesetzes gilt nicht; eine Anrechnung auf sonstige genehmigte Kapitalien erfolgt nicht. Im Übrigen ist § 7 Absatz 1 und 2 Satz 2 sowie Absatz 4 Satz 2 entsprechend anzuwenden.</w:t>
      </w:r>
    </w:p>
    <w:p>
      <w:r>
        <w:t xml:space="preserve">(2) Wird das Bezugsrecht ganz oder teilweise im Ermächtigungsbeschluss ausgeschlossen oder wird hierin vorgesehen, dass der Vorstand über den Ausschluss des Bezugsrechts entscheidet, gilt § 7 Absatz 3 entsprechend.</w:t>
      </w:r>
    </w:p>
    <w:p>
      <w:r>
        <w:t xml:space="preserve">(3) Für die Ausgabe der neuen Aktien gilt § 5 entsprechend.</w:t>
      </w:r>
    </w:p>
    <w:p>
      <w:r>
        <w:rPr>
          <w:color w:val="555555"/>
          <w:sz w:val="17"/>
        </w:rPr>
        <w:t xml:space="preserve">Zitiervorschlag: § 7b FMStBG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https://recht.nulegal.eu/gesetze/FMStBG/7b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