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FMStBG — Bedingtes Kapital</w:t>
      </w:r>
    </w:p>
    <w:p>
      <w:r>
        <w:rPr>
          <w:color w:val="555555"/>
          <w:sz w:val="18"/>
        </w:rPr>
        <w:t xml:space="preserve">Wirtschaftsstabilisierungsbeschleunigungsgesetz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Eine bedingte Kapitalerhöhung im Zusammenhang mit einer Rekapitalisierung nach § 7 oder § 22 des Stabilisierungsfondsgesetzes kann auch zur Gewährung von Umtausch- oder Bezugsrechten an den Fonds als stillen Gesellschafter beschlossen werden. Der Beschluss bedarf einer Mehrheit der abgegebenen Stimmen. § 192 Absatz 3 Satz 1 des Aktiengesetzes gilt nicht; eine Anrechnung auf sonstige bedingte Kapitalien erfolgt nicht. § 194 Absatz 1 Satz 2 des Aktiengesetzes gilt entsprechend. Dies gilt auch für die Ausgabe von Wandelschuldverschreibungen durch ein Unternehmen gegen Einbringung von Vermögenseinlagen aus stillen Beteiligungen nach § 10. Es genügt, wenn in dem Beschluss oder dem damit verbundenen Beschluss nach § 10 Absatz 2 der Mindestausgabebetrag oder die Grundlagen für die Festlegung des Ausgabebetrages oder des Mindestausgabebetrages bestimmt werden. Im Übrigen ist § 7 Absatz 1 und 2 Satz 2 entsprechend anzuwenden.</w:t>
      </w:r>
    </w:p>
    <w:p>
      <w:r>
        <w:t xml:space="preserve">(2) § 5 gilt entsprechend.</w:t>
      </w:r>
    </w:p>
    <w:p>
      <w:r>
        <w:t xml:space="preserve">(3) Für bedingtes Kapital nach Absatz 1 gilt § 218 des Aktiengesetzes entsprechend.</w:t>
      </w:r>
    </w:p>
    <w:p>
      <w:r>
        <w:rPr>
          <w:color w:val="555555"/>
          <w:sz w:val="17"/>
        </w:rPr>
        <w:t xml:space="preserve">Zitiervorschlag: § 7a FMStBG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https://recht.nulegal.eu/gesetze/FMStBG/7a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