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FMStBG — Hauptversammlung</w:t>
      </w:r>
    </w:p>
    <w:p>
      <w:r>
        <w:rPr>
          <w:color w:val="555555"/>
          <w:sz w:val="18"/>
        </w:rPr>
        <w:t xml:space="preserve">Wirtschaftsstabilisierungsbeschleunigungsgesetz</w:t>
      </w:r>
    </w:p>
    <w:p>
      <w:r>
        <w:rPr>
          <w:color w:val="555555"/>
          <w:sz w:val="18"/>
        </w:rPr>
        <w:t xml:space="preserve">Stand: 17.07.2020 (konsolidierte Textfassung, kein amtliches Inkrafttretensdatum)</w:t>
      </w:r>
    </w:p>
    <w:p>
      <w:r>
        <w:t xml:space="preserve">(1) Für Aktiengesellschaften, Kommanditgesellschaften auf Aktien, Europäische Gesellschaften (SE) und Versicherungsvereine auf Gegenseitigkeit gilt für die Durchführung von Hauptversammlungen § 1 des Gesetzes über Maßnahmen im Gesellschafts-, Vereins-, Genossenschafts- und Wohnungseigentumsrecht zur Bekämpfung der Auswirkungen der COVID-19-Pandemie.</w:t>
      </w:r>
    </w:p>
    <w:p>
      <w:r>
        <w:t xml:space="preserve">(2) Für Mitgliederbeschlüsse bei Genossenschaften gilt § 3 des Gesetzes über Maßnahmen im Gesellschafts-, Vereins-, Genossenschafts- und Wohnungseigentumsrecht zur Bekämpfung der Auswirkungen der COVID-19-Pandemie.</w:t>
      </w:r>
    </w:p>
    <w:p>
      <w:r>
        <w:rPr>
          <w:color w:val="555555"/>
          <w:sz w:val="17"/>
        </w:rPr>
        <w:t xml:space="preserve">Zitiervorschlag: § 6 FMStBG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https://recht.nulegal.eu/gesetze/FMStBG/6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