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FMStBG — Verpflichtungserklärung bei anderen Rechtsformen</w:t>
      </w:r>
    </w:p>
    <w:p>
      <w:r>
        <w:rPr>
          <w:color w:val="555555"/>
          <w:sz w:val="18"/>
        </w:rPr>
        <w:t xml:space="preserve">Wirtschaftsstabilisierungsbeschleunigungsgesetz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Die vorstehenden Absätze gelten für Unternehmen des Finanzsektors und für Unternehmen der Realwirtschaft, die nicht in der Rechtsform einer Aktiengesellschaft verfasst sind, entsprechend.</w:t>
      </w:r>
    </w:p>
    <w:p>
      <w:r>
        <w:rPr>
          <w:color w:val="555555"/>
          <w:sz w:val="17"/>
        </w:rPr>
        <w:t xml:space="preserve">Zitiervorschlag: § 4 FMStBG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https://recht.nulegal.eu/gesetze/FMStBG/4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