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FMStBG — Anwendungsbereich</w:t>
      </w:r>
    </w:p>
    <w:p>
      <w:r>
        <w:rPr>
          <w:color w:val="555555"/>
          <w:sz w:val="18"/>
        </w:rPr>
        <w:t xml:space="preserve">Wirtschaftsstabilisierungsbeschleunigungsgesetz</w:t>
      </w:r>
    </w:p>
    <w:p>
      <w:r>
        <w:rPr>
          <w:color w:val="555555"/>
          <w:sz w:val="18"/>
        </w:rPr>
        <w:t xml:space="preserve">Stand: 05.04.2020 (konsolidierte Textfassung, kein amtliches Inkrafttretensdatum)</w:t>
      </w:r>
    </w:p>
    <w:p>
      <w:r>
        <w:t xml:space="preserve">(1) Unternehmen im Sinne dieses Gesetzes bezeichnen sowohl „Unternehmen des Finanzsektors“ im Sinne von Absatz 1 Nummer 4 als auch „Unternehmen der Realwirtschaft“ im Sinne von Absatz 1 Nummer 5 auf die dieses Gesetz Anwendung findet.</w:t>
      </w:r>
    </w:p>
    <w:p>
      <w:r>
        <w:t xml:space="preserve">(2) Soweit dieses Gesetz Vorgaben für als Aktiengesellschaft und in weiteren Rechtsformen verfasste Unternehmen vorsieht, denen Stabilisierungsmaßnahmen nach den §§ 6 bis 8, 21, 22 des Stabilisierungsfondsgesetzes gewährt werden, gelten diese Vorgaben für durch andere inländische Gebietskörperschaften errichtete, mit dem Wirtschaftsstabilisierungsfonds vergleichbare Einrichtungen und deren Stabilisierungsmaßnahmen entsprechend. Soweit dieses Gesetz auf den oder die Fonds, den Bund, ihre jeweiligen Tochtergesellschaften und die von ihnen errichteten Körperschaften, Anstalten und Sondervermögen sowie die ihnen nahestehenden Personen oder sonstige von ihnen mittelbar oder unmittelbar abhängigen Unternehmen Bezug nimmt, gelten die Bestimmungen entsprechend auch für durch andere inländische Gebietskörperschaften errichtete, mit dem Wirtschaftsstabilisierungsfonds vergleichbare Einrichtungen, die Bundesländer, ihre jeweiligen Tochtergesellschaften und die von ihnen errichteten Körperschaften, Anstalten, Sondervermögen sowie die ihnen nahestehenden Personen oder sonstige von ihnen mittelbar oder unmittelbar abhängigen Unternehmen.</w:t>
      </w:r>
    </w:p>
    <w:p>
      <w:r>
        <w:rPr>
          <w:color w:val="555555"/>
          <w:sz w:val="17"/>
        </w:rPr>
        <w:t xml:space="preserve">Zitiervorschlag: § 2 FMStBG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