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FMStBG — Anfechtung, Gesellschafterdarlehen und wirtschaftlich vergleichbare Forderungen, verdeckte Sacheinlage</w:t>
      </w:r>
    </w:p>
    <w:p>
      <w:r>
        <w:rPr>
          <w:color w:val="555555"/>
          <w:sz w:val="18"/>
        </w:rPr>
        <w:t xml:space="preserve">Wirtschaftsstabilisierungsbeschleunigungsgesetz</w:t>
      </w:r>
    </w:p>
    <w:p>
      <w:r>
        <w:rPr>
          <w:color w:val="555555"/>
          <w:sz w:val="18"/>
        </w:rPr>
        <w:t xml:space="preserve">Stand: 05.04.2020 (konsolidierte Textfassung, kein amtliches Inkrafttretensdatum)</w:t>
      </w:r>
    </w:p>
    <w:p>
      <w:r>
        <w:t xml:space="preserve">(1) Rechtshandlungen, die im Zusammenhang mit Stabilisierungsmaßnahmen stehen, können nicht zu Lasten des Fonds, des Bundes und der von ihnen errichteten Körperschaften, Anstalten und Sondervermögen sowie der ihnen nahestehenden Personen oder sonstigen von ihnen mittelbar oder unmittelbar abhängigen Unternehmen nach den Bestimmungen der Insolvenzordnung und des Anfechtungsgesetzes angefochten werden.</w:t>
      </w:r>
    </w:p>
    <w:p>
      <w:r>
        <w:t xml:space="preserve">(2) Die Vorschriften über Gesellschafterdarlehen und wirtschaftlich vergleichbare Forderungen, insbesondere § 39 Absatz 1 Nummer 5 der Insolvenzordnung, gelten nicht zu Lasten der in Absatz 1 genannten Personen und Rechtsträger.</w:t>
      </w:r>
    </w:p>
    <w:p>
      <w:r>
        <w:t xml:space="preserve">(3) Die Absätze 1 und 2 gelten auch zugunsten von Rechtsnachfolgern, die in die Rechte und Pflichten in Bezug auf die privilegierte Forderung oder Sicherheit eintreten.</w:t>
      </w:r>
    </w:p>
    <w:p>
      <w:r>
        <w:t xml:space="preserve">(4) Die Rechtsgrundsätze der verdeckten Sacheinlage finden auf Rechtsgeschäfte zwischen dem Finanzmarktstabilisierungsfonds und Unternehmen des Finanzsektors sowie zwischen dem Wirtschaftsstabilisierungsfonds und Unternehmen der Realwirtschaft keine Anwendung. Dies gilt insbesondere für die Ausgabe neuer Aktien gegen Hingabe von Einlagen aus von dem Fonds eingegangenen stillen Gesellschaften oder von sonstigen Verbindlichkeiten des Unternehmens gegenüber dem Fonds.</w:t>
      </w:r>
    </w:p>
    <w:p>
      <w:r>
        <w:rPr>
          <w:color w:val="555555"/>
          <w:sz w:val="17"/>
        </w:rPr>
        <w:t xml:space="preserve">Zitiervorschlag: § 17 FMStBG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https://recht.nulegal.eu/gesetze/FMStBG/17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FMStBG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