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FMStBG — Wettbewerbsrecht</w:t>
      </w:r>
    </w:p>
    <w:p>
      <w:r>
        <w:rPr>
          <w:color w:val="555555"/>
          <w:sz w:val="18"/>
        </w:rPr>
        <w:t xml:space="preserve">Wirtschaftsstabilisierungsbeschleunigungsgesetz</w:t>
      </w:r>
    </w:p>
    <w:p>
      <w:r>
        <w:rPr>
          <w:color w:val="555555"/>
          <w:sz w:val="18"/>
        </w:rPr>
        <w:t xml:space="preserve">Stand: 05.04.2020 (konsolidierte Textfassung, kein amtliches Inkrafttretensdatum)</w:t>
      </w:r>
    </w:p>
    <w:p>
      <w:r>
        <w:t xml:space="preserve">Die Vorschriften des Ersten bis Dritten Teils des Gesetzes gegen Wettbewerbsbeschränkungen finden keine Anwendung auf den Fonds.</w:t>
      </w:r>
    </w:p>
    <w:p>
      <w:r>
        <w:rPr>
          <w:color w:val="555555"/>
          <w:sz w:val="17"/>
        </w:rPr>
        <w:t xml:space="preserve">Zitiervorschlag: § 16 FMStBG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https://recht.nulegal.eu/gesetze/FMStBG/16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