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FMStBG — Wertpapiererwerbs- und Übernahmeangebote; Ausschluss von Minderheitsaktionären</w:t>
      </w:r>
    </w:p>
    <w:p>
      <w:r>
        <w:rPr>
          <w:color w:val="555555"/>
          <w:sz w:val="18"/>
        </w:rPr>
        <w:t xml:space="preserve">Wirtschaftsstabilisierungsbeschleunigungsgesetz</w:t>
      </w:r>
    </w:p>
    <w:p>
      <w:r>
        <w:rPr>
          <w:color w:val="555555"/>
          <w:sz w:val="18"/>
        </w:rPr>
        <w:t xml:space="preserve">Stand: 05.04.2020 (konsolidierte Textfassung, kein amtliches Inkrafttretensdatum)</w:t>
      </w:r>
    </w:p>
    <w:p>
      <w:r>
        <w:t xml:space="preserve">(1) Wird die Kontrolle im Sinne des § 29 Absatz 2 des Wertpapiererwerbs- und Übernahmegesetzes über eine Zielgesellschaft durch den Bund, den Fonds oder durch ihre jeweiligen Tochtergesellschaften im Zusammenhang mit einer Stabilisierungsmaßnahme nach Stabilisierungsfondsgesetz, einschließlich der nachträglichen Erhöhung einer im Rahmen einer Stabilisierungsmaßnahme erworbenen Beteiligung des Fonds, oder einer Maßnahme nach dem Rettungsübernahmegesetz erlangt, so befreit sie die Bundesanstalt für Finanzdienstleistungsaufsicht von der Pflicht zur Veröffentlichung nach § 35 Absatz 1 Satz 1 des Wertpapiererwerbs- und Übernahmegesetzes und zur Abgabe eines Angebots nach § 35 Absatz 2 Satz 1 des Wertpapiererwerbs- und Übernahmegesetzes.</w:t>
      </w:r>
    </w:p>
    <w:p>
      <w:r>
        <w:t xml:space="preserve">(2) § 30 Absatz 2 des Wertpapiererwerbs- und Übernahmegesetzes findet keine Anwendung, wenn sich Aktionäre einer Zielgesellschaft oder Personen oder Gesellschaften, denen nach § 30 Absatz 1 oder 2 des Wertpapiererwerbs- und Übernahmegesetzes Stimmrechte aus Aktien dieser Zielgesellschaft zugerechnet werden, ihr Verhalten in Bezug auf diese Zielgesellschaft auf Grund einer Vereinbarung oder in sonstiger Weise mit dem Fonds, dem Bund oder mit deren jeweiligen Tochterunternehmen im Zusammenhang mit Stabilisierungsmaßnahmen nach § 7, 8 oder 22 des Stabilisierungsfondsgesetzes über die Ausübung von Stimmrechten oder in sonstiger Weise in Bezug auf die Zielgesellschaft abstimmen.</w:t>
      </w:r>
    </w:p>
    <w:p>
      <w:r>
        <w:t xml:space="preserve">(3) Gibt der Bund oder ein Fonds im Zusammenhang mit einer Stabilisierung ein Angebot im Sinne des § 2 Absatz 1 des Wertpapiererwerbs- und Übernahmegesetzes zum Erwerb von Wertpapieren eines Unternehmens ab, gilt Folgendes:</w:t>
      </w:r>
    </w:p>
    <w:p>
      <w:pPr>
        <w:ind w:left="420"/>
      </w:pPr>
      <w:r>
        <w:t xml:space="preserve">1. Die Annahmefrist darf unter Abweichung von § 16 Absatz 1 des Wertpapiererwerbs- und Übernahmegesetzes nicht weniger als zwei Wochen betragen. Die weitere Annahmefrist im Sinne des § 16 Absatz 2 Satz 1 des Wertpapiererwerbs- und Übernahmegesetzes entfällt. Die Schwellenwerte in § 39a Absatz 1 Satz 1 und 2 des Wertpapiererwerbs- und Übernahmegesetzes betragen jeweils 90 Prozent. Die §§ 13, 16 Absatz 3 Satz 1 und § 22 Absatz 2 Satz 1 des Wertpapiererwerbs- und Übernahmegesetzes sind nicht anzuwenden.</w:t>
      </w:r>
    </w:p>
    <w:p>
      <w:pPr>
        <w:ind w:left="420"/>
      </w:pPr>
      <w:r>
        <w:t xml:space="preserve">2. In der Angebotsunterlage bedarf es nicht der Aufnahme der ergänzenden Angaben nach § 11 Absatz 2 Satz 3 Nummer 1 und 4 des Wertpapiererwerbs- und Übernahmegesetzes und der ergänzenden Angaben nach § 2 Nummer 1 der WpÜG-Angebotsverordnung für solche Personen, die lediglich nach Maßgabe des § 2 Absatz 5 Satz 3 des Wertpapiererwerbs- und Übernahmegesetzes als gemeinsam handelnde Personen gelten, aber tatsächlich ihr Verhalten im Hinblick auf ihren Erwerb von Wertpapieren der Zielgesellschaft oder ihre Ausübung von Stimmrechten aus Aktien der Zielgesellschaft nicht mit dem Bund oder dem Fonds abstimmen.</w:t>
      </w:r>
    </w:p>
    <w:p>
      <w:pPr>
        <w:ind w:left="420"/>
      </w:pPr>
      <w:r>
        <w:t xml:space="preserve">3. Abweichend von § 31 Absatz 1 Satz 2 des Wertpapiererwerbs- und Übernahmegesetzes und den §§ 4 bis 6 der WpÜG-Angebotsverordnung bemisst sich der Mindestwert bei Übernahmeangeboten nach Abschnitt 4 des Wertpapiererwerbs- und Übernahmegesetzes nach dem gewichteten durchschnittlichen inländischen Börsenkurs während der letzten zwei Wochen vor Bekanntgabe oder Bekanntwerden der Absicht eines Übernahmeangebots. Das gilt nicht, wenn dieser Wert über dem gewichteten durchschnittlichen inländischen Börsenkurs während des Zeitraums vom 1. bis 27. März 2020 liegt. In diesem Fall ist der letztgenannte Wert der maßgebliche Mindestwert. § 31 Absatz 4 und 5 des Wertpapiererwerbs- und Übernahmegesetzes findet keine Anwendung.</w:t>
      </w:r>
    </w:p>
    <w:p>
      <w:r>
        <w:t xml:space="preserve">(4) Der Fonds kann ein Verlangen nach § 327a Absatz 1 Satz 1 des Aktiengesetzes stellen, wenn ihm Aktien der Gesellschaft in Höhe von 90 Prozent des Grundkapitals gehören. § 327b Absatz 3 des Aktiengesetzes ist nicht anzuwenden. Anstelle des § 327e Absatz 2 des Aktiengesetzes findet § 7c Satz 2 bis 4 entsprechende Anwendung. Ist eine gegen die Wirksamkeit des Hauptversammlungsbeschlusses gerichtete Klage begründet, hat der Fonds den Aktionären ihre Aktien Zug um Zug gegen Erstattung einer bereits gezahlten Abfindung zurück zu übertragen. Im Übrigen sind die §§ 327a bis 327f des Aktiengesetzes anzuwenden.</w:t>
      </w:r>
    </w:p>
    <w:p>
      <w:r>
        <w:rPr>
          <w:color w:val="555555"/>
          <w:sz w:val="17"/>
        </w:rPr>
        <w:t xml:space="preserve">Zitiervorschlag: § 14 FMStBG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https://recht.nulegal.eu/gesetze/FMStBG/14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