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FMStBG — Keine Mitteilungspflicht für wesentliche Beteiligung</w:t>
      </w:r>
    </w:p>
    <w:p>
      <w:r>
        <w:rPr>
          <w:color w:val="555555"/>
          <w:sz w:val="18"/>
        </w:rPr>
        <w:t xml:space="preserve">Wirtschaftsstabilisierungsbeschleunigungsgesetz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§ 43 des Wertpapierhandelsgesetzes findet keine Anwendung auf den Erwerb von Anteilen durch die Fonds.</w:t>
      </w:r>
    </w:p>
    <w:p>
      <w:r>
        <w:rPr>
          <w:color w:val="555555"/>
          <w:sz w:val="17"/>
        </w:rPr>
        <w:t xml:space="preserve">Zitiervorschlag: § 12 FMStBG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https://recht.nulegal.eu/gesetze/FMStBG/12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FMStBG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