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FMStBG — Keine Informationspflicht gegenüber dem Wirtschaftsausschuss</w:t>
      </w:r>
    </w:p>
    <w:p>
      <w:r>
        <w:rPr>
          <w:color w:val="555555"/>
          <w:sz w:val="18"/>
        </w:rPr>
        <w:t xml:space="preserve">Wirtschaftsstabilisierungsbeschleunigungsgesetz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§ 106 Absatz 2 Satz 2 und Absatz 3 Nummer 9a sowie § 109a des Betriebsverfassungsgesetzes finden keine Anwendung auf den Erwerb von Anteilen durch die Fonds.</w:t>
      </w:r>
    </w:p>
    <w:p>
      <w:r>
        <w:rPr>
          <w:color w:val="555555"/>
          <w:sz w:val="17"/>
        </w:rPr>
        <w:t xml:space="preserve">Zitiervorschlag: § 11 FMStBG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https://recht.nulegal.eu/gesetze/FMStBG/11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