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FMStBG — Stille Gesellschaft</w:t>
      </w:r>
    </w:p>
    <w:p>
      <w:r>
        <w:rPr>
          <w:color w:val="555555"/>
          <w:sz w:val="18"/>
        </w:rPr>
        <w:t xml:space="preserve">Wirtschaftsstabilisierungsbeschleunigungsgesetz</w:t>
      </w:r>
    </w:p>
    <w:p>
      <w:r>
        <w:rPr>
          <w:color w:val="555555"/>
          <w:sz w:val="18"/>
        </w:rPr>
        <w:t xml:space="preserve">Stand: 05.04.2020 (konsolidierte Textfassung, kein amtliches Inkrafttretensdatum)</w:t>
      </w:r>
    </w:p>
    <w:p>
      <w:r>
        <w:t xml:space="preserve">(1) Eine Vereinbarung über die Leistung einer Vermögenseinlage durch den Fonds als stiller Gesellschafter in ein Unternehmen ist kein Unternehmensvertrag nach § 291 oder § 292 des Aktiengesetzes. Sie bedarf insbesondere nicht der Zustimmung der Hauptversammlung oder der Eintragung in das Handelsregister. Die vorstehenden Sätze gelten entsprechend, wenn sich im Rahmen einer Rekapitalisierung nach § 7 oder § 22 des Stabilisierungsfondsgesetzes neben dem Fonds auch Dritte als stille Gesellschafter an dem Unternehmen beteiligen oder die stille Beteiligung nach Gewährung der Einlage ganz oder in Teilen an Dritte übertragen wird.</w:t>
      </w:r>
    </w:p>
    <w:p>
      <w:r>
        <w:t xml:space="preserve">(2) In der Vereinbarung kann auch ein Umtausch oder Bezugsrecht auf Aktien eingeräumt werden. Das Bezugsrecht der Aktionäre ist im Falle einer Wandlung ausgeschlossen. Ein Umtausch- oder Bezugsrecht bedarf der Zustimmung oder Ermächtigung der Hauptversammlung mit einer Mehrheit, die mindestens zwei Drittel der abgegebenen Stimmen oder des vertretenen Grundkapitals umfasst. Die einfache Mehrheit reicht, wenn die Hälfte des gezeichneten Kapitals vertreten ist.</w:t>
      </w:r>
    </w:p>
    <w:p>
      <w:r>
        <w:t xml:space="preserve">(3) Die Absätze 1 und 2 gelten auch für nachträgliche Änderungen oder Ergänzungen und die Aufhebung einer Vereinbarung über stille Beteiligungen des Fonds an einem von ihm gestützten Unternehmen des Finanzsektors oder einer Vereinbarung über stille Beteiligungen von Dritten an dem Unternehmen, die nach Absatz 1 abgeschlossen wurde.</w:t>
      </w:r>
    </w:p>
    <w:p>
      <w:r>
        <w:t xml:space="preserve">(4) Die vorzeitige Rückgewähr einer Vermögenseinlage des Fonds oder einvernehmliche Aufhebung einer stillen Gesellschaft nach Absatz 1 gilt nicht als Rückgewähr von Einlagen im Sinne des § 57 des Aktiengesetzes.</w:t>
      </w:r>
    </w:p>
    <w:p>
      <w:r>
        <w:rPr>
          <w:color w:val="555555"/>
          <w:sz w:val="17"/>
        </w:rPr>
        <w:t xml:space="preserve">Zitiervorschlag: § 10 FMStBG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https://recht.nulegal.eu/gesetze/FMStBG/10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