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FMSASatzV 2011 — (zu § 1)Satzung der Bundesanstalt für Finanzmarktstabilisierung</w:t>
      </w:r>
    </w:p>
    <w:p>
      <w:r>
        <w:rPr>
          <w:color w:val="555555"/>
          <w:sz w:val="18"/>
        </w:rPr>
        <w:t xml:space="preserve">Verordnung über die Satzung der Bundesanstalt für Finanzmarktstabilisierung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(Fundstelle: BGBl. I 2017, 4020 - 4022; bzgl. einzelner Änderungen vgl. Fußnote)</w:t>
      </w:r>
    </w:p>
    <w:p>
      <w:r>
        <w:t xml:space="preserve">(Text der Satzung siehe: FMSASatz 2011)</w:t>
      </w:r>
    </w:p>
    <w:p>
      <w:r>
        <w:rPr>
          <w:color w:val="555555"/>
          <w:sz w:val="17"/>
        </w:rPr>
        <w:t xml:space="preserve">Zitiervorschlag: Anlage FMSASatzV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https://recht.nulegal.eu/gesetze/FMSASatzV%202011/anlage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