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FMSASatzV 2011</w:t>
      </w:r>
    </w:p>
    <w:p>
      <w:r>
        <w:rPr>
          <w:color w:val="555555"/>
          <w:sz w:val="18"/>
        </w:rPr>
        <w:t xml:space="preserve">Verordnung über die Satzung der Bundesanstalt für Finanzmarktstabilisierung</w:t>
      </w:r>
    </w:p>
    <w:p>
      <w:r>
        <w:rPr>
          <w:color w:val="555555"/>
          <w:sz w:val="18"/>
        </w:rPr>
        <w:t xml:space="preserve">Historische Fassung: Stand 10.06.2019 bis 01.01.2026. Dies ist nicht die aktuelle Fassung.</w:t>
      </w:r>
    </w:p>
    <w:p>
      <w:r>
        <w:t xml:space="preserve">Die Bundesanstalt für Finanzmarktstabilisierung erhält die anliegende Satzung.</w:t>
      </w:r>
    </w:p>
    <w:p>
      <w:r>
        <w:rPr>
          <w:color w:val="555555"/>
          <w:sz w:val="17"/>
        </w:rPr>
        <w:t xml:space="preserve">Zitiervorschlag: § 1 FMSASatzV 2011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https://recht.nulegal.eu/gesetze/FMSASatzV%202011/1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