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FMSASatz 2011 — Vertretung der FMSA</w:t>
      </w:r>
    </w:p>
    <w:p>
      <w:r>
        <w:rPr>
          <w:color w:val="555555"/>
          <w:sz w:val="18"/>
        </w:rPr>
        <w:t xml:space="preserve">Satzung der Bundesanstalt für Finanzmarktstabilisierung</w:t>
      </w:r>
    </w:p>
    <w:p>
      <w:r>
        <w:rPr>
          <w:color w:val="555555"/>
          <w:sz w:val="18"/>
        </w:rPr>
        <w:t xml:space="preserve">Historische Fassung: Stand 10.06.2019 bis 01.01.2026. Dies ist nicht die aktuelle Fassung.</w:t>
      </w:r>
    </w:p>
    <w:p>
      <w:r>
        <w:t xml:space="preserve">(1) Die Leitung, im Verhinderungsfall eine der Stellvertretungen, vertritt die FMSA gerichtlich und außergerichtlich. Soweit im Rahmen der Aufgaben nach § 2 Absatz 1 eine Entscheidung oder Handlung mit verbindlicher Außenwirkung erfolgt, bedarf diese Entscheidung oder Handlung der Zustimmung der Leitung. Hiervon unberührt sind sonstige Zustimmungs-, Einbeziehungs- oder Entscheidungserfordernisse, insbesondere seitens der Finanzagentur, des Bundesministeriums der Finanzen oder des Lenkungsausschusses.</w:t>
      </w:r>
    </w:p>
    <w:p>
      <w:r>
        <w:t xml:space="preserve">(2) Bei Geschäften der laufenden Verwaltung kann die FMSA durch zwei Beschäftigte der FMSA oder von der FMSA bevollmächtigte Beschäftigte der Finanzagentur gemeinschaftlich vertreten werden, soweit diese innerhalb ihrer jeweiligen Zuständigkeiten handeln.</w:t>
      </w:r>
    </w:p>
    <w:p>
      <w:r>
        <w:t xml:space="preserve">(3) Ist eine Willenserklärung gegenüber der FMSA abzugeben, so genügt die Abgabe gegenüber der Leitung oder einem von der Leitung zur Annahme bevollmächtigten Beschäftigten der FMSA.</w:t>
      </w:r>
    </w:p>
    <w:p>
      <w:r>
        <w:rPr>
          <w:color w:val="555555"/>
          <w:sz w:val="17"/>
        </w:rPr>
        <w:t xml:space="preserve">Zitiervorschlag: § 8 FMSASatz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https://recht.nulegal.eu/gesetze/FMSASatz%202011/8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