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FMSASatz 2011 — Rechtsstellung der Leitung</w:t>
      </w:r>
    </w:p>
    <w:p>
      <w:r>
        <w:rPr>
          <w:color w:val="555555"/>
          <w:sz w:val="18"/>
        </w:rPr>
        <w:t xml:space="preserve">Satzung der Bundesanstalt für Finanzmarktstabilisierung</w:t>
      </w:r>
    </w:p>
    <w:p>
      <w:r>
        <w:rPr>
          <w:color w:val="555555"/>
          <w:sz w:val="18"/>
        </w:rPr>
        <w:t xml:space="preserve">Historische Fassung: Stand 10.06.2019 bis 01.01.2026. Dies ist nicht die aktuelle Fassung.</w:t>
      </w:r>
    </w:p>
    <w:p>
      <w:r>
        <w:t xml:space="preserve">(1) Die Leitung unterliegt dem Weisungsrecht des Bundesministeriums der Finanzen.</w:t>
      </w:r>
    </w:p>
    <w:p>
      <w:r>
        <w:t xml:space="preserve">(2) Die Leitung kann sich und ihren Stellvertretungen einen Verhaltenskodex geben, welcher der Zustimmung des Bundesministeriums der Finanzen bedarf. Insbesondere dürfen die Leitung und die Stellvertretungen ohne Zustimmung des Bundesministeriums der Finanzen weder auf eigene noch auf fremde Rechnung Geschäfte tätigen, die die Interessen der FMSA oder der Finanzagentur offensichtlich berühren oder aus denen sich der Anschein einer Interessenkollision ergeben könnte. Die jeweils geltenden Compliance-Richtlinien der Finanzagentur unter anderem zur Wertpapiercompliance, zur Verhinderung von Geldwäsche und Terrorismusfinanzierung, zur Korruptionsprävention und Betrugsbekämpfung sind entsprechend einzuhalten.</w:t>
      </w:r>
    </w:p>
    <w:p>
      <w:r>
        <w:rPr>
          <w:color w:val="555555"/>
          <w:sz w:val="17"/>
        </w:rPr>
        <w:t xml:space="preserve">Zitiervorschlag: § 6 FMSASatz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https://recht.nulegal.eu/gesetze/FMSASatz%202011/6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