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FMSASatz 2011 — Organe</w:t>
      </w:r>
    </w:p>
    <w:p>
      <w:r>
        <w:rPr>
          <w:color w:val="555555"/>
          <w:sz w:val="18"/>
        </w:rPr>
        <w:t xml:space="preserve">Satzung der Bundesanstalt für Finanzmarktstabilisierung</w:t>
      </w:r>
    </w:p>
    <w:p>
      <w:r>
        <w:rPr>
          <w:color w:val="555555"/>
          <w:sz w:val="18"/>
        </w:rPr>
        <w:t xml:space="preserve">Historische Fassung: Stand 10.06.2019 bis 01.01.2026. Dies ist nicht die aktuelle Fassung.</w:t>
      </w:r>
    </w:p>
    <w:p>
      <w:r>
        <w:t xml:space="preserve">(1) Organ der FMSA ist der Leitungsausschuss.</w:t>
      </w:r>
    </w:p>
    <w:p>
      <w:r>
        <w:t xml:space="preserve">(2) Der Leitungsausschuss erfüllt die ihm durch Gesetz, Verordnung und diese Satzung zugewiesenen Aufgaben. Der Leitungsausschuss hat die Geschäfte der FMSA mit der Sorgfalt einer ordentlichen und gewissenhaften Geschäftsleitung wahrzunehmen.</w:t>
      </w:r>
    </w:p>
    <w:p>
      <w:r>
        <w:t xml:space="preserve">(3) Das Bundesministerium der Finanzen kann Wirtschaftsführungsbestimmungen und eine Geschäftsanweisung für den Leitungsausschuss erlassen.</w:t>
      </w:r>
    </w:p>
    <w:p>
      <w:r>
        <w:rPr>
          <w:color w:val="555555"/>
          <w:sz w:val="17"/>
        </w:rPr>
        <w:t xml:space="preserve">Zitiervorschlag: § 4 FMSASatz 2011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https://recht.nulegal.eu/gesetze/FMSASatz%202011/4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