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FMSASatz 2011 — Haushaltsführung, Wirtschaftsführung, Rechnungslegung, Revision</w:t>
      </w:r>
    </w:p>
    <w:p>
      <w:r>
        <w:rPr>
          <w:color w:val="555555"/>
          <w:sz w:val="18"/>
        </w:rPr>
        <w:t xml:space="preserve">Satzung der Bundesanstalt für Finanzmarktstabilisierung</w:t>
      </w:r>
    </w:p>
    <w:p>
      <w:r>
        <w:rPr>
          <w:color w:val="555555"/>
          <w:sz w:val="18"/>
        </w:rPr>
        <w:t xml:space="preserve">Historische Fassung: Stand 30.09.2023 bis 01.01.2026. Dies ist nicht die aktuelle Fassung.</w:t>
      </w:r>
    </w:p>
    <w:p>
      <w:r>
        <w:t xml:space="preserve">(1) Soweit nicht durch Gesetz oder in dieser Satzung abweichend geregelt, bezieht sich die unmittelbare Geltung der §§ 106 bis 110 der Bundeshaushaltsordnung sowie die entsprechende Geltung der §§ 1 bis 87 der Bundeshaushaltsordnung im Sinne von § 105 Absatz 1 der Bundeshaushaltsordnung nur auf Zahlungen, die Buchführung und die Rechnungslegung. Die Rechnungslegung besteht aus einer die Einnahmen und Ausgaben nachweisenden Haushaltsrechnung; die Aufstellung einer Vermögensrechnung ist nicht erforderlich. Einen Abschluss nach dem Handelsgesetzbuch hat die FMSA nicht aufzustellen.</w:t>
      </w:r>
    </w:p>
    <w:p>
      <w:r>
        <w:t xml:space="preserve">(2) Für die FMSA geltende Vorschriften, die auf Außenrechtssätzen beruhen, setzt die Finanzagentur in Erfüllung ihrer Aufgaben nach § 2 Absatz 2 um. Innenrechtssätze finden auf die FMSA keine Anwendung, es sei denn, diese Satzung trifft eine andere Bestimmung. Die für die Finanzagentur geltenden Vorschriften für die Haushalts- und Wirtschaftsführung, die Rechnungslegung sowie weitere Richtlinien, wie insbesondere für Revision, Datenschutz, Compliance, Reise- und Umzugskosten sowie Trennungsgeld, sind auf die FMSA entsprechend anzuwenden, sofern sich aus Satz 1 nichts anderes ergibt.</w:t>
      </w:r>
    </w:p>
    <w:p>
      <w:r>
        <w:t xml:space="preserve">(3) Die Haushalts- und Wirtschaftsführung der FMSA sowie die Rechnungslegung werden vom Abschlussprüfer der Finanzagentur gemäß den jeweils geltenden Standards und vom Bundesministerium der Finanzen im Rahmen der Ausübung der Rechts- und Fachaufsicht geprüft. Dem Bundesrechnungshof steht ein uneingeschränktes Prüfungsrecht der Haushalts- und Wirtschaftsführung sowie der Rechnungslegung der FMSA im Sinne der §§ 109 Absatz 2 und 111 Absatz 1 der Bundeshaushaltsordnung zu. Die Bestellung des Abschlussprüfers der Finanzagentur erfolgt im Einvernehmen mit dem Bundesrechnungshof.</w:t>
      </w:r>
    </w:p>
    <w:p>
      <w:r>
        <w:t xml:space="preserve">(4) Die FMSA erhält nach Maßgabe des Stabilisierungsfondsgesetzes eine Zahlung aus dem Bundeshaushalt. Die Finanzagentur stellt im Rahmen der Trägerschaft der FMSA die erforderlichen Sachmittel zur Verfügung.</w:t>
      </w:r>
    </w:p>
    <w:p>
      <w:r>
        <w:rPr>
          <w:color w:val="555555"/>
          <w:sz w:val="17"/>
        </w:rPr>
        <w:t xml:space="preserve">Zitiervorschlag: § 10 FMSASatz 2011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https://recht.nulegal.eu/gesetze/FMSASatz%202011/10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