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FMSASatz 2011 — Rechtsform und Bezeichnung</w:t>
      </w:r>
    </w:p>
    <w:p>
      <w:r>
        <w:rPr>
          <w:color w:val="555555"/>
          <w:sz w:val="18"/>
        </w:rPr>
        <w:t xml:space="preserve">Satzung der Bundesanstalt für Finanzmarktstabilisierung</w:t>
      </w:r>
    </w:p>
    <w:p>
      <w:r>
        <w:rPr>
          <w:color w:val="555555"/>
          <w:sz w:val="18"/>
        </w:rPr>
        <w:t xml:space="preserve">Historische Fassung: Stand 17.07.2020 bis 01.01.2026. Dies ist nicht die aktuelle Fassung.</w:t>
      </w:r>
    </w:p>
    <w:p>
      <w:r>
        <w:t xml:space="preserve">(1) Die Bundesanstalt für Finanzmarktstabilisierung ist eine bundesunmittelbare rechtsfähige Anstalt des öffentlichen Rechts im Geschäftsbereich des Bundesministeriums der Finanzen. Mit ihrer Trägerschaft ist gemäß § 3a Absatz 1 Satz 6 des Stabilisierungsfondsgesetzes die Bundesrepublik Deutschland – Finanzagentur GmbH (Finanzagentur) beliehen.</w:t>
      </w:r>
    </w:p>
    <w:p>
      <w:r>
        <w:t xml:space="preserve">(2) Die Bundesanstalt für Finanzmarktstabilisierung kann im Geschäftsverkehr als „FMSA“ bezeichnet werden.</w:t>
      </w:r>
    </w:p>
    <w:p>
      <w:r>
        <w:rPr>
          <w:color w:val="555555"/>
          <w:sz w:val="17"/>
        </w:rPr>
        <w:t xml:space="preserve">Zitiervorschlag: § 1 FMSASatz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