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FMSAKostV — Fälligkeit</w:t>
      </w:r>
    </w:p>
    <w:p>
      <w:r>
        <w:rPr>
          <w:color w:val="555555"/>
          <w:sz w:val="18"/>
        </w:rPr>
        <w:t xml:space="preserve">FMSA-Kostenverordnung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Pflicht zur Kostenerstattung wird zehn Tage nach Bekanntgabe der Festsetzung an den Kostenschuldner fällig, es sei denn, die Finanzagentur legt einen anderen Zeitpunkt fest.</w:t>
      </w:r>
    </w:p>
    <w:p>
      <w:r>
        <w:t xml:space="preserve">(2) Soweit die Pflicht zur Kostenerstattung durch Verpflichtungserklärung oder Vertrag übernommen worden ist, bestimmt sich die Fälligkeit nach dieser Verpflichtungserklärung oder diesem Vertrag.</w:t>
      </w:r>
    </w:p>
    <w:p>
      <w:r>
        <w:rPr>
          <w:color w:val="555555"/>
          <w:sz w:val="17"/>
        </w:rPr>
        <w:t xml:space="preserve">Zitiervorschlag: § 4 FMSAKostV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https://recht.nulegal.eu/gesetze/FMSAKostV/4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