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FMSAKostV — Erstattung überzahlter oder zu Unrecht erhobener Kostenerstattungen</w:t>
      </w:r>
    </w:p>
    <w:p>
      <w:r>
        <w:rPr>
          <w:color w:val="555555"/>
          <w:sz w:val="18"/>
        </w:rPr>
        <w:t xml:space="preserve">FMSA-Kostenverordnung</w:t>
      </w:r>
    </w:p>
    <w:p>
      <w:r>
        <w:rPr>
          <w:color w:val="555555"/>
          <w:sz w:val="18"/>
        </w:rPr>
        <w:t xml:space="preserve">Stand: 10.06.2019 (konsolidierte Textfassung, kein amtliches Inkrafttretensdatum)</w:t>
      </w:r>
    </w:p>
    <w:p>
      <w:r>
        <w:t xml:space="preserve">(1) Überzahlte oder zu Unrecht erhobene Kostenerstattungen, die nicht auf der Erhebung einer Vorauszahlung beruhen, sind nach Kenntniserlangung durch den Bund zu erstatten, zu Unrecht erhobene Kostenerstattungen jedoch nur, solange ihre Festsetzung noch anfechtbar ist.</w:t>
      </w:r>
    </w:p>
    <w:p>
      <w:r>
        <w:t xml:space="preserve">(2) Ein Anspruch auf Erstattung einer Überzahlung im Sinne des Absatzes 1 entsteht erst mit Zahlungseingang nach § 9 Absatz 3.</w:t>
      </w:r>
    </w:p>
    <w:p>
      <w:r>
        <w:t xml:space="preserve">(3) Der Erstattungsanspruch nach Absatz 1 erlischt durch Verjährung, wenn er nicht bis zum Ablauf des dritten Kalenderjahres geltend gemacht wird, das auf die Entstehung des Anspruchs folgt. Die Verjährung beginnt nicht vor der Unanfechtbarkeit der Festsetzung.</w:t>
      </w:r>
    </w:p>
    <w:p>
      <w:r>
        <w:rPr>
          <w:color w:val="555555"/>
          <w:sz w:val="17"/>
        </w:rPr>
        <w:t xml:space="preserve">Zitiervorschlag: § 11 FMSAKostV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https://recht.nulegal.eu/gesetze/FMSAKostV/11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