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FLStrZV (Brandenburg) — Bekanntmachungen</w:t>
      </w:r>
    </w:p>
    <w:p>
      <w:r>
        <w:rPr>
          <w:color w:val="555555"/>
          <w:sz w:val="18"/>
        </w:rPr>
        <w:t xml:space="preserve">Fern- und Landesstraßenzuständigkeitsverordnung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21.08.2026 (konsolidierte Textfassung, kein amtliches Inkrafttretensdatum)</w:t>
      </w:r>
    </w:p>
    <w:p>
      <w:r>
        <w:t xml:space="preserve">Bekanntmachungen gemäß § 2 Abs. 6 des Bundesfernstraßengesetzes erfolgen im Amtsblatt für Brandenburg.</w:t>
      </w:r>
    </w:p>
    <w:p>
      <w:r>
        <w:rPr>
          <w:color w:val="555555"/>
          <w:sz w:val="17"/>
        </w:rPr>
        <w:t xml:space="preserve">Zitiervorschlag: § 8 FLStrZV (Brandenburg)</w:t>
      </w:r>
    </w:p>
    <w:p>
      <w:r>
        <w:rPr>
          <w:color w:val="555555"/>
          <w:sz w:val="17"/>
        </w:rPr>
        <w:t xml:space="preserve">Quelle: bravors, abgerufen 21.08.2026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https://recht.nulegal.eu/gesetze/FLStrZV/8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