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FLStrZV (Brandenburg) — Übertragung von Ermächtigungen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durch das Bundesfernstraßengesetz der Landesregierung erteilten Ermächtigungen</w:t>
      </w:r>
    </w:p>
    <w:p>
      <w:r>
        <w:t xml:space="preserve">nach § 8 Abs. 3 Satz 3 des Bundesfernstraßengesetzes (Erlass von Gebührenordnungen für Sondernutzungen),</w:t>
      </w:r>
    </w:p>
    <w:p>
      <w:r>
        <w:t xml:space="preserve">nach § 9a Abs. 3 Satz 3 des Bundesfernstraßengesetzes (Festlegung von Planungsgebieten durch Rechtsverordnung)</w:t>
      </w:r>
    </w:p>
    <w:p>
      <w:r>
        <w:t xml:space="preserve">werden dem für den Straßenbau zuständigen Minister übertragen.</w:t>
      </w:r>
    </w:p>
    <w:p>
      <w:r>
        <w:rPr>
          <w:color w:val="555555"/>
          <w:sz w:val="17"/>
        </w:rPr>
        <w:t xml:space="preserve">Zitiervorschlag: § 5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