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FLStrZV (Brandenburg) — Bestimmung der höheren Verwaltungsbehörde</w:t>
      </w:r>
    </w:p>
    <w:p>
      <w:r>
        <w:rPr>
          <w:color w:val="555555"/>
          <w:sz w:val="18"/>
        </w:rPr>
        <w:t xml:space="preserve">Fern- und Landesstraßenzuständigkeitsverordnung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Höhere Verwaltungsbehörde im Sinne von § 5 Abs. 4 Satz 4 des Bundesfernstraßengesetzes ist das für den Straßenbau zuständige Ministerium.</w:t>
      </w:r>
    </w:p>
    <w:p>
      <w:r>
        <w:rPr>
          <w:color w:val="555555"/>
          <w:sz w:val="17"/>
        </w:rPr>
        <w:t xml:space="preserve">Zitiervorschlag: § 4 FLStrZV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https://recht.nulegal.eu/gesetze/FLStrZV/4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