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FLStrZV (Brandenburg) — Zuständigkeiten</w:t>
      </w:r>
    </w:p>
    <w:p>
      <w:r>
        <w:rPr>
          <w:color w:val="555555"/>
          <w:sz w:val="18"/>
        </w:rPr>
        <w:t xml:space="preserve">Fern- und Landesstraßenzuständigkeitsverordnung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Oberste Landesstraßenbaubehörde im Sinne des Bundesfernstraßengesetzes ist das für den Straßenbau zuständige Ministerium.</w:t>
      </w:r>
    </w:p>
    <w:p>
      <w:r>
        <w:t xml:space="preserve">(2) Untere Straßenbaubehörde ist der Landesbetrieb Straßenwesen.</w:t>
      </w:r>
    </w:p>
    <w:p>
      <w:r>
        <w:t xml:space="preserve">(3) Soweit die Gemeinden nach § 5 Abs. 2 bis 3 des Bundesfernstraßengesetzes Träger der Straßenbaulast für Bundesstraßen sind, sind sie Straßenbaubehörde.</w:t>
      </w:r>
    </w:p>
    <w:p>
      <w:r>
        <w:t xml:space="preserve">(4) Die Straßenaufsicht gemäß § 20 des Bundesfernstraßengesetzes wird von dem für den Straßenbau zuständigen Ministerium ausgeübt.</w:t>
      </w:r>
    </w:p>
    <w:p>
      <w:r>
        <w:rPr>
          <w:color w:val="555555"/>
          <w:sz w:val="17"/>
        </w:rPr>
        <w:t xml:space="preserve">Zitiervorschlag: § 1 FLStrZV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https://recht.nulegal.eu/gesetze/FLStrZV/1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