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FKeramAusbV — Abschlußprüfung</w:t>
      </w:r>
    </w:p>
    <w:p>
      <w:r>
        <w:rPr>
          <w:color w:val="555555"/>
          <w:sz w:val="18"/>
        </w:rPr>
        <w:t xml:space="preserve">Verordnung über die Berufsausbildung zum Figurenkeramformer/zur Figurenkeramformerin</w:t>
      </w:r>
    </w:p>
    <w:p>
      <w:r>
        <w:rPr>
          <w:color w:val="555555"/>
          <w:sz w:val="18"/>
        </w:rPr>
        <w:t xml:space="preserve">Stand: 10.06.2019 (konsolidierte Textfassung, kein amtliches Inkrafttretensdatum)</w:t>
      </w:r>
    </w:p>
    <w:p>
      <w:r>
        <w:t xml:space="preserve">(1) Die Abschlußprüfung erstreckt sich auf die in der Anlage aufgeführten Fertigkeiten und Kenntnisse sowie auf den im Berufsschulunterricht vermittelten Lehrstoff, soweit er für die Berufsausbildung wesentlich ist.</w:t>
      </w:r>
    </w:p>
    <w:p>
      <w:r>
        <w:t xml:space="preserve">(2) Zum Nachweis der Fertigkeiten soll der Prüfling in insgesamt höchstens 14 Stunden ein Prüfungsstück anfertigen. Hierfür kommt insbesondere in Betracht: eine mehrteilige Figur mit Belegarbeiten, ergänzten Modellierungen einschließlich Vorbereitung für Trocknung und Brand.</w:t>
      </w:r>
    </w:p>
    <w:p>
      <w:r>
        <w:t xml:space="preserve">(3) Zum Nachweis der Kenntnisse soll der Prüfling in den Prüfungsfächern Technologie, Technische Mathematik, Fachzeichnen sowie Wirtschafts- und Sozialkunde schriftlich geprüft werden. Es kommen Fragen und Aufgaben, die sich auf praxisbezogene Fälle beziehen sollen, insbesondere aus folgenden Gebieten in Betracht:</w:t>
      </w:r>
    </w:p>
    <w:p>
      <w:pPr>
        <w:ind w:left="420"/>
      </w:pPr>
      <w:r>
        <w:t xml:space="preserve">1. im Prüfungsfach Technologie:</w:t>
      </w:r>
    </w:p>
    <w:p>
      <w:pPr>
        <w:ind w:left="780"/>
      </w:pPr>
      <w:r>
        <w:t xml:space="preserve">a) kulturhistorische Entwicklung der Keramik- und Porzellangestaltung,</w:t>
      </w:r>
    </w:p>
    <w:p>
      <w:pPr>
        <w:ind w:left="780"/>
      </w:pPr>
      <w:r>
        <w:t xml:space="preserve">b) Zusammensetzung, Herstellung und Einsatz keramischer Massen für die Figurenformgebung,</w:t>
      </w:r>
    </w:p>
    <w:p>
      <w:pPr>
        <w:ind w:left="780"/>
      </w:pPr>
      <w:r>
        <w:t xml:space="preserve">c) Vorgaben für den Arbeitsablauf in der Figurenformgebung,</w:t>
      </w:r>
    </w:p>
    <w:p>
      <w:pPr>
        <w:ind w:left="780"/>
      </w:pPr>
      <w:r>
        <w:t xml:space="preserve">d) Modell- und Formenherstellung,</w:t>
      </w:r>
    </w:p>
    <w:p>
      <w:pPr>
        <w:ind w:left="780"/>
      </w:pPr>
      <w:r>
        <w:t xml:space="preserve">e) Formgebungsverfahren von Figuren und Geschirr,</w:t>
      </w:r>
    </w:p>
    <w:p>
      <w:pPr>
        <w:ind w:left="780"/>
      </w:pPr>
      <w:r>
        <w:t xml:space="preserve">f) Trocken- und Brenntechniken in der Keramik,</w:t>
      </w:r>
    </w:p>
    <w:p>
      <w:pPr>
        <w:ind w:left="780"/>
      </w:pPr>
      <w:r>
        <w:t xml:space="preserve">g) Glasieren und Glasierfehler,</w:t>
      </w:r>
    </w:p>
    <w:p>
      <w:pPr>
        <w:ind w:left="780"/>
      </w:pPr>
      <w:r>
        <w:t xml:space="preserve">h) Qualitätssicherung in der Figurenformgebung;</w:t>
      </w:r>
    </w:p>
    <w:p>
      <w:pPr>
        <w:ind w:left="420"/>
      </w:pPr>
      <w:r>
        <w:t xml:space="preserve">2. im Prüfungsfach Technische Mathematik:</w:t>
      </w:r>
    </w:p>
    <w:p>
      <w:pPr>
        <w:ind w:left="780"/>
      </w:pPr>
      <w:r>
        <w:t xml:space="preserve">a) Volumen- und Gewichtsberechnungen,</w:t>
      </w:r>
    </w:p>
    <w:p>
      <w:pPr>
        <w:ind w:left="780"/>
      </w:pPr>
      <w:r>
        <w:t xml:space="preserve">b) Berechnungen zur linearen Trocken- und Brennschwindung,</w:t>
      </w:r>
    </w:p>
    <w:p>
      <w:pPr>
        <w:ind w:left="780"/>
      </w:pPr>
      <w:r>
        <w:t xml:space="preserve">c) Versatzberechnungen,</w:t>
      </w:r>
    </w:p>
    <w:p>
      <w:pPr>
        <w:ind w:left="780"/>
      </w:pPr>
      <w:r>
        <w:t xml:space="preserve">d) Material- und Kostenberechnung;</w:t>
      </w:r>
    </w:p>
    <w:p>
      <w:pPr>
        <w:ind w:left="420"/>
      </w:pPr>
      <w:r>
        <w:t xml:space="preserve">3. im Prüfungsfach Fachzeichnen:einfache anwendungsbezogene technische Fachzeichnungen;</w:t>
      </w:r>
    </w:p>
    <w:p>
      <w:pPr>
        <w:ind w:left="420"/>
      </w:pPr>
      <w:r>
        <w:t xml:space="preserve">4. im Prüfungsfach Wirtschafts- und Sozialkunde:allgemeine wirtschaftliche und gesellschaftliche Zusammenhänge der Berufs- und Arbeitswelt.</w:t>
      </w:r>
    </w:p>
    <w:p>
      <w:r>
        <w:t xml:space="preserve">(4) Für die schriftliche Kenntnisprüfung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Technische Mathematik    90 Minuten,</w:t>
      </w:r>
    </w:p>
    <w:p>
      <w:r>
        <w:rPr>
          <w:rFonts w:ascii="Courier New" w:hAnsi="Courier New"/>
          <w:sz w:val="17"/>
        </w:rPr>
        <w:t xml:space="preserve">3.    im Prüfungsfach Fachzeichnen    90 Minuten,</w:t>
      </w:r>
    </w:p>
    <w:p>
      <w:r>
        <w:rPr>
          <w:rFonts w:ascii="Courier New" w:hAnsi="Courier New"/>
          <w:sz w:val="17"/>
        </w:rPr>
        <w:t xml:space="preserve">4.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Kenntnisprüfung hat das Prüfungsfach Technologie gegenüber jedem der übrigen Prüfungsfächer das doppelte Gewicht.</w:t>
      </w:r>
    </w:p>
    <w:p>
      <w:r>
        <w:t xml:space="preserve">(8) Die Prüfung ist bestanden, wenn jeweils in der Fertigkeits- und Kenntnisprüfung sowie innerhalb der Kenntnisprüfung im Prüfungsfach Technologie mindestens ausreichende Leistungen erbracht sind.</w:t>
      </w:r>
    </w:p>
    <w:p>
      <w:r>
        <w:rPr>
          <w:color w:val="555555"/>
          <w:sz w:val="17"/>
        </w:rPr>
        <w:t xml:space="preserve">Zitiervorschlag: § 8 FKeramAusbV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https://recht.nulegal.eu/gesetze/FKeramAusbV/8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