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FKeramAusbV — Übergangsregelung</w:t>
      </w:r>
    </w:p>
    <w:p>
      <w:r>
        <w:rPr>
          <w:color w:val="555555"/>
          <w:sz w:val="18"/>
        </w:rPr>
        <w:t xml:space="preserve">Verordnung über die Berufsausbildung zum Figurenkeramformer/zur Figurenkeramformerin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Berufsausbildungsverhältnisse, die bei Inkrafttreten dieser Verordnung bestehen, sind die bisherigen Vorschriften weiter anzuwenden, es sei denn, die Vertragsparteien vereinbaren die Anwendung der Vorschriften dieser Verordnung.</w:t>
      </w:r>
    </w:p>
    <w:p>
      <w:r>
        <w:rPr>
          <w:color w:val="555555"/>
          <w:sz w:val="17"/>
        </w:rPr>
        <w:t xml:space="preserve">Zitiervorschlag: § 10 FKeramAusbV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https://recht.nulegal.eu/gesetze/FKeramAusbV/10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