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FKSDVO — Speicherung von Daten zu Unternehmen</w:t>
      </w:r>
    </w:p>
    <w:p>
      <w:r>
        <w:rPr>
          <w:color w:val="555555"/>
          <w:sz w:val="18"/>
        </w:rPr>
        <w:t xml:space="preserve">FKS-Datenverordnung</w:t>
      </w:r>
    </w:p>
    <w:p>
      <w:r>
        <w:rPr>
          <w:color w:val="555555"/>
          <w:sz w:val="18"/>
        </w:rPr>
        <w:t xml:space="preserve">Stand: 30.12.2025 (konsolidierte Textfassung, kein amtliches Inkrafttretensdatum)</w:t>
      </w:r>
    </w:p>
    <w:p>
      <w:r>
        <w:t xml:space="preserve">(1) Zu Unternehmen können die in den §§ 1 und 2 genannten Daten auch dann im zentralen Informationssystem für die Finanzkontrolle Schwarzarbeit gespeichert werden, wenn es sich um Daten gemäß § 67 Absatz 2 Satz 2 des Zehnten Buches Sozialgesetzbuch handelt und dies zur Aufgabenerfüllung erforderlich ist.</w:t>
      </w:r>
    </w:p>
    <w:p>
      <w:r>
        <w:t xml:space="preserve">(2) Personenbezogene Daten zu Mitgliedern von Genossenschaften oder von Vereinen oder zu Gesellschaftern, die in den §§ 1 und 2 genannt sind, können ebenfalls im zentralen Informationssystem für die Finanzkontrolle Schwarzarbeit gespeichert werden, wenn dies zur Aufgabenerfüllung erforderlich ist.</w:t>
      </w:r>
    </w:p>
    <w:p>
      <w:r>
        <w:t xml:space="preserve">(3) Zu Personen, die zur Vertretung der Unternehmen berechtigt sind, können im zentralen Informationssystem für die Finanzkontrolle Schwarzarbeit die Daten nach § 2 Absatz 1 Nummer 2 bis 4 gespeichert werden, wenn dies zur Aufgabenerfüllung erforderlich ist.</w:t>
      </w:r>
    </w:p>
    <w:p>
      <w:r>
        <w:t xml:space="preserve">(4) Sofern gegen vertretungsberechtigte Organe oder faktisch Vertretende des Unternehmens oder das Unternehmen selbst straf- oder ordnungswidrigkeitenrechtliche Ermittlungen geführt werden, können im zentralen Informationssystem für die Finanzkontrolle Schwarzarbeit folgende Daten zu Unternehmen gespeichert werden, sofern dies zur Aufgabenerfüllung erforderlich ist:</w:t>
      </w:r>
    </w:p>
    <w:p>
      <w:pPr>
        <w:ind w:left="420"/>
      </w:pPr>
      <w:r>
        <w:t xml:space="preserve">1. Art und Höhe von Vermögenswerten für die Zwecke von vorläufigen Sicherungsmaßnahmen nach den §§ 111b bis 111q der Strafprozessordnung sowie Einziehungsmaßnahmen in den Fällen des § 73b des Strafgesetzbuches und</w:t>
      </w:r>
    </w:p>
    <w:p>
      <w:pPr>
        <w:ind w:left="420"/>
      </w:pPr>
      <w:r>
        <w:t xml:space="preserve">2. Angaben zu Handlungen, die eine Geldbewegung oder eine sonstige Vermögensverschiebung bezwecken oder bewirken.</w:t>
      </w:r>
    </w:p>
    <w:p>
      <w:r>
        <w:rPr>
          <w:color w:val="555555"/>
          <w:sz w:val="17"/>
        </w:rPr>
        <w:t xml:space="preserve">Zitiervorschlag: § 3 FKSDVO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https://recht.nulegal.eu/gesetze/FKSDVO/3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