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FKAustG — Melde- und Sorgfaltspflichten für Informationen über Finanzkonten</w:t>
      </w:r>
    </w:p>
    <w:p>
      <w:r>
        <w:rPr>
          <w:color w:val="555555"/>
          <w:sz w:val="18"/>
        </w:rPr>
        <w:t xml:space="preserve">Finanzkonten-Informationsaustauschgesetz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8 bis 26 legen die allgemeinen Melde- und Sorgfaltspflichten, die besonderen Sorgfaltsvorschriften und ergänzenden Melde- und Sorgfaltsvorschriften fest, die von meldenden Finanzinstituten zu beachten sind, damit das Bundeszentralamt für Steuern die Daten im Sinne des § 2 im Wege des automatischen Informationsaustauschs an die jeweils zuständige Behörde des anderen Staates im Sinne des § 1 Absatz 1 übermitteln kann.</w:t>
      </w:r>
    </w:p>
    <w:p>
      <w:r>
        <w:rPr>
          <w:color w:val="555555"/>
          <w:sz w:val="17"/>
        </w:rPr>
        <w:t xml:space="preserve">Zitiervorschlag: § 7 FKAustG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https://recht.nulegal.eu/gesetze/FKAustG/7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