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FKAustG — Ansässigkeit; Zeitpunkt der Erstanwendung</w:t>
      </w:r>
    </w:p>
    <w:p>
      <w:r>
        <w:rPr>
          <w:color w:val="555555"/>
          <w:sz w:val="18"/>
        </w:rPr>
        <w:t xml:space="preserve">Finanzkonten-Informationsaustauschgesetz</w:t>
      </w:r>
    </w:p>
    <w:p>
      <w:r>
        <w:rPr>
          <w:color w:val="555555"/>
          <w:sz w:val="18"/>
        </w:rPr>
        <w:t xml:space="preserve">Stand: 10.12.2024 (konsolidierte Textfassung, kein amtliches Inkrafttretensdatum)</w:t>
      </w:r>
    </w:p>
    <w:p>
      <w:r>
        <w:t xml:space="preserve">(1) Finanzinstitute haben zur Wahrung der Melde- und Sorgfaltspflichten nach diesem Gesetz zu den von ihnen geführten Konten die steuerliche Ansässigkeit des Konteninhabers zu erheben und seinem Konto zuzuordnen, unabhängig davon, ob es sich bei dem Kontoinhaber oder dem sonstigen Kunden um eine meldepflichtige Person im Sinne der Melde- und Sorgfaltspflichten nach diesem Gesetz handelt. Bei der Erhebung der steuerlichen Ansässigkeit nach Satz 1 gelten die von den Finanzinstituten geführten Konten insoweit als Konten, für die die Melde- und Sorgfaltspflichten nach diesem Gesetz einzuhalten sind; dies schließt auch die Erhebung ausländischer Steueridentifikationsnummern ein.</w:t>
      </w:r>
    </w:p>
    <w:p>
      <w:r>
        <w:t xml:space="preserve">(2) Jedes meldende Finanzinstitut teilt vor einer erstmaligen Übermittlung von Daten nach § 8 jeder betroffenen Person in allgemeiner Form mit oder macht dieser zugänglich, dass die nach diesem Gesetz ermittelten Daten, soweit aufgrund dieses Gesetzes erforderlich, an das Bundeszentralamt für Steuern für Zwecke der Übermittlung an den Ansässigkeitsstaat des Kontoinhabers übermittelt werden.</w:t>
      </w:r>
    </w:p>
    <w:p>
      <w:r>
        <w:t xml:space="preserve">(3) Meldende Finanzinstitute haben die nach diesem Gesetz zu erhebenden Daten erstmals für das Steuerjahr 2016 bis zum 31. Juli 2017 dem Bundeszentralamt für Steuern und in den Folgejahren jeweils bis zum 31. Juli eines Folgejahres zu übermitteln.</w:t>
      </w:r>
    </w:p>
    <w:p>
      <w:r>
        <w:rPr>
          <w:color w:val="555555"/>
          <w:sz w:val="17"/>
        </w:rPr>
        <w:t xml:space="preserve">Zitiervorschlag: § 6 FKAustG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https://recht.nulegal.eu/gesetze/FKAustG/6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