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FKAustG — Aufgaben des Bundeszentralamts für Steuern</w:t>
      </w:r>
    </w:p>
    <w:p>
      <w:r>
        <w:rPr>
          <w:color w:val="555555"/>
          <w:sz w:val="18"/>
        </w:rPr>
        <w:t xml:space="preserve">Finanzkonten-Informationsaustauschgesetz</w:t>
      </w:r>
    </w:p>
    <w:p>
      <w:r>
        <w:rPr>
          <w:color w:val="555555"/>
          <w:sz w:val="18"/>
        </w:rPr>
        <w:t xml:space="preserve">Stand: 10.12.2024 (konsolidierte Textfassung, kein amtliches Inkrafttretensdatum)</w:t>
      </w:r>
    </w:p>
    <w:p>
      <w:r>
        <w:t xml:space="preserve">(1) Dem Bundeszentralamt für Steuern sind als zuständiger Behörde im Sinne des § 4 von den meldenden Finanzinstituten die Daten nach § 8 nach amtlich vorgeschriebenem Datensatz elektronisch im Wege der Datenfernübertragung erstmals zum 31. Juli 2017 zu übermitteln. Das Bundesministerium der Finanzen gibt den amtlich vorgeschriebenen Datensatz im Bundessteuerblatt bekannt.</w:t>
      </w:r>
    </w:p>
    <w:p>
      <w:r>
        <w:t xml:space="preserve">(2) Das Bundeszentralamt für Steuern übermittelt die ihm von den Finanzinstituten nach Absatz 1 übermittelten Daten an die zuständige Behörde des jeweils anderen Staates im Sinne des § 1 Absatz 1. Das Bundeszentralamt für Steuern speichert zudem die übermittelten Daten.</w:t>
      </w:r>
    </w:p>
    <w:p>
      <w:r>
        <w:t xml:space="preserve">(3) Das Bundeszentralamt für Steuern nimmt die von einer anderen zuständigen Behörde eines Staates im Sinne des § 1 Absatz 1 übermittelten Daten entgegen, speichert sie und leitet sie zur Durchführung des Besteuerungsverfahrens nach Maßgabe des § 88 Absatz 3 und 4 der Abgabenordnung an die zuständige Landesfinanzbehörde weiter.</w:t>
      </w:r>
    </w:p>
    <w:p>
      <w:r>
        <w:t xml:space="preserve">(4) Das Bundeszentralamt für Steuern ist berechtigt, eine Auswertung der ihm nach den Absätzen 1 und 3 übermittelten Daten zur Erfüllung der dem Bundeszentralamt für Steuern gesetzlich übertragenen Aufgaben vorzunehmen. Eine Auswertung der Daten durch die jeweils zuständige Landesfinanzbehörde bleibt hiervon unberührt.</w:t>
      </w:r>
    </w:p>
    <w:p>
      <w:r>
        <w:t xml:space="preserve">(5) Die nach den Absätzen 2 und 3 beim Bundeszentralamt für Steuern gespeicherten Daten werden ab dem Zeitpunkt der Übermittlung nach Absatz 2 Satz 1 15 Jahre lang aufbewahrt. Mit Ablauf eines Jahres der Aufbewahrung nach Satz 1 werden die Daten gelöscht. Geht vor dem in Satz 2 genannten Zeitpunkt eine Änderungsmeldung ein, so beginnt die Frist nach Satz 1 mit dem Zeitpunkt, zu dem die Änderungsmeldung eingegangen ist.</w:t>
      </w:r>
    </w:p>
    <w:p>
      <w:r>
        <w:t xml:space="preserve">(6) Das Bundeszentralamt für Steuern ist für die Prüfung der Einhaltung der den Finanzinstituten nach diesem Gesetz auferlegten Melde- und Sorgfaltspflichten, besonderen Sorgfaltspflichten sowie ergänzenden Melde- und Sorgfaltsvorschriften für Informationen über Finanzkonten zuständig. § 147 Absatz 5 bis 7 und die §§ 193 bis 203a der Abgabenordnung gelten entsprechend.</w:t>
      </w:r>
    </w:p>
    <w:p>
      <w:r>
        <w:t xml:space="preserve">(7) Die aufgrund dieses Gesetzes vom Bundeszentralamt für Steuern als zuständige Behörde erhobenen und gespeicherten Daten dürfen nur für die in den zugrunde liegenden Regelungen gemäß § 1 Absatz 1 festgelegten Zwecke verwendet werden.</w:t>
      </w:r>
    </w:p>
    <w:p>
      <w:r>
        <w:t xml:space="preserve">(8) Bei der Übermittlung von Informationen durch das Bundeszentralamt für Steuern an die zuständigen Behörden der Vertragsstaaten der in § 1 Absatz 1 Nummer 2 genannten Vereinbarung vom 29. Oktober 2014 findet keine Anhörung der Beteiligten nach § 117 Absatz 4 Satz 3 der Abgabenordnung statt.</w:t>
      </w:r>
    </w:p>
    <w:p>
      <w:r>
        <w:rPr>
          <w:color w:val="555555"/>
          <w:sz w:val="17"/>
        </w:rPr>
        <w:t xml:space="preserve">Zitiervorschlag: § 5 FKAustG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https://recht.nulegal.eu/gesetze/FKAustG/5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