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3b FKAustG — Verhinderung der Umgehung der Meldepflicht</w:t>
      </w:r>
    </w:p>
    <w:p>
      <w:r>
        <w:rPr>
          <w:color w:val="555555"/>
          <w:sz w:val="18"/>
        </w:rPr>
        <w:t xml:space="preserve">Finanzkonten-Informationsaustauschgesetz</w:t>
      </w:r>
    </w:p>
    <w:p>
      <w:r>
        <w:rPr>
          <w:color w:val="555555"/>
          <w:sz w:val="18"/>
        </w:rPr>
        <w:t xml:space="preserve">Stand: 10.12.2024 (konsolidierte Textfassung, kein amtliches Inkrafttretensdatum)</w:t>
      </w:r>
    </w:p>
    <w:p>
      <w:r>
        <w:t xml:space="preserve">Durch Missbrauch von Gestaltungsmöglichkeiten des Rechts können die Verpflichtungen aus diesem Gesetz nicht umgangen werden. § 42 der Abgabenordnung gilt entsprechend.</w:t>
      </w:r>
    </w:p>
    <w:p>
      <w:r>
        <w:rPr>
          <w:color w:val="555555"/>
          <w:sz w:val="17"/>
        </w:rPr>
        <w:t xml:space="preserve">Zitiervorschlag: § 3b FKAustG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https://recht.nulegal.eu/gesetze/FKAustG/3b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