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FKAustG — Geführte Konten</w:t>
      </w:r>
    </w:p>
    <w:p>
      <w:r>
        <w:rPr>
          <w:color w:val="555555"/>
          <w:sz w:val="18"/>
        </w:rPr>
        <w:t xml:space="preserve">Finanzkonten-Informationsaustauschgesetz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Allgemeinen ist davon auszugehen, dass Konten von folgenden Finanzinstituten geführt werden:</w:t>
      </w:r>
    </w:p>
    <w:p>
      <w:pPr>
        <w:ind w:left="420"/>
      </w:pPr>
      <w:r>
        <w:t xml:space="preserve">1. Verwahrkonten von dem Finanzinstitut, das das Vermögen auf dem Konto verwahrt, einschließlich Finanzinstituten, die Vermögen als Makler für einen Kontoinhaber bei diesem Institut verwahren,</w:t>
      </w:r>
    </w:p>
    <w:p>
      <w:pPr>
        <w:ind w:left="420"/>
      </w:pPr>
      <w:r>
        <w:t xml:space="preserve">2. Einlagenkonten von dem Finanzinstitut, das verpflichtet ist, Zahlungen in Bezug auf das Konto zu leisten, mit Ausnahme von Vertretern von Finanzinstituten, unabhängig davon, ob dieser Vertreter ein Finanzinstitut ist,</w:t>
      </w:r>
    </w:p>
    <w:p>
      <w:pPr>
        <w:ind w:left="420"/>
      </w:pPr>
      <w:r>
        <w:t xml:space="preserve">3. Eigen- oder Fremdkapitalbeteiligungen an einem Finanzinstitut in Form eines Finanzkontos von diesem Finanzinstitut,</w:t>
      </w:r>
    </w:p>
    <w:p>
      <w:pPr>
        <w:ind w:left="420"/>
      </w:pPr>
      <w:r>
        <w:t xml:space="preserve">4. rückkaufsfähige Versicherungsverträge oder Rentenversicherungsverträge von dem Finanzinstitut, das verpflichtet ist, Zahlungen in Bezug auf den Vertrag zu leisten.</w:t>
      </w:r>
    </w:p>
    <w:p>
      <w:r>
        <w:rPr>
          <w:color w:val="555555"/>
          <w:sz w:val="17"/>
        </w:rPr>
        <w:t xml:space="preserve">Zitiervorschlag: § 24 FKAustG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https://recht.nulegal.eu/gesetze/FKAustG/24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