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FKAustG — Änderung der Gegebenheiten</w:t>
      </w:r>
    </w:p>
    <w:p>
      <w:r>
        <w:rPr>
          <w:color w:val="555555"/>
          <w:sz w:val="18"/>
        </w:rPr>
        <w:t xml:space="preserve">Finanzkonten-Informationsaustauschgesetz</w:t>
      </w:r>
    </w:p>
    <w:p>
      <w:r>
        <w:rPr>
          <w:color w:val="555555"/>
          <w:sz w:val="18"/>
        </w:rPr>
        <w:t xml:space="preserve">Stand: 10.06.2019 (konsolidierte Textfassung, kein amtliches Inkrafttretensdatum)</w:t>
      </w:r>
    </w:p>
    <w:p>
      <w:r>
        <w:t xml:space="preserve">(1) Eine Änderung der Gegebenheiten umfasst jede Änderung, die die Aufnahme neuer für den Status einer Person relevanter Informationen zur Folge hat oder in anderer Weise im Widerspruch zum Status dieser Person steht. Zudem umfasst eine Änderung der Gegebenheiten jede Änderung oder Aufnahme von Informationen zum Konto des Kontoinhabers, einschließlich der Aufnahme, Ersetzung oder jeder anderen Änderung eines Kontoinhabers, oder jede Änderung oder Aufnahme von Informationen zu jedem mit einem solchen Konto verbundenen Konto unter Anwendung der Vorschriften für die Zusammenfassung von Konten nach § 18, wenn sich diese Änderung oder Aufnahme von Informationen auf den Status des Kontoinhabers auswirkt.</w:t>
      </w:r>
    </w:p>
    <w:p>
      <w:r>
        <w:t xml:space="preserve">(2) Hat sich ein meldendes Finanzinstitut auf die in § 11 Absatz 1 Satz 1 Nummer 1 beschriebene Überprüfung der Hausanschrift verlassen und tritt eine Änderung der Gegebenheiten ein, aufgrund derer dem meldenden Finanzinstitut bekannt ist oder bekannt sein müsste, dass die ursprünglichen Belege oder andere gleichwertige Dokumente nicht zutreffend oder unglaubwürdig sind, so muss das meldende Finanzinstitut entweder bis zum letzten Tag des maßgeblichen Kalenderjahres oder eines anderen geeigneten Meldezeitraums oder 90 Kalendertage nach Mitteilung oder Feststellung einer solchen Änderung der Gegebenheiten, je nachdem, welches Datum später ist, eine Selbstauskunft und neue Belege beschaffen, um die steuerliche Ansässigkeit oder steuerlichen Ansässigkeiten des Kontoinhabers festzustellen. Kann das meldende Finanzinstitut bis zu diesem Datum keine Selbstauskunft und keine neuen Belege beschaffen, so muss es die in § 11 Absatz 1 Satz 1 Nummer 2 und in den Absätzen 2 und 3 beschriebene Suche in elektronischen Datensätzen durchführen.</w:t>
      </w:r>
    </w:p>
    <w:p>
      <w:r>
        <w:rPr>
          <w:color w:val="555555"/>
          <w:sz w:val="17"/>
        </w:rPr>
        <w:t xml:space="preserve">Zitiervorschlag: § 21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