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FKAustG — Sonstige Begriffsbestimmungen</w:t>
      </w:r>
    </w:p>
    <w:p>
      <w:r>
        <w:rPr>
          <w:color w:val="555555"/>
          <w:sz w:val="18"/>
        </w:rPr>
        <w:t xml:space="preserve">Finanzkonten-Informationsaustauschgesetz</w:t>
      </w:r>
    </w:p>
    <w:p>
      <w:r>
        <w:rPr>
          <w:color w:val="555555"/>
          <w:sz w:val="18"/>
        </w:rPr>
        <w:t xml:space="preserve">Stand: 10.06.2019 (konsolidierte Textfassung, kein amtliches Inkrafttretensdatum)</w:t>
      </w:r>
    </w:p>
    <w:p>
      <w:r>
        <w:t xml:space="preserve">Im Sinne dieses Gesetzes ist oder sind:</w:t>
      </w:r>
    </w:p>
    <w:p>
      <w:pPr>
        <w:ind w:left="420"/>
      </w:pPr>
      <w:r>
        <w:t xml:space="preserve">1. Kontoinhaber: die Person, die vom kontoführenden Finanzinstitut als Inhaber eines Finanzkontos geführt oder identifiziert wird. Eine Person, die kein Finanzinstitut ist und als Vertreter, Verwahrer, Bevollmächtigter, Unterzeichner, Anlageberater oder Intermediär zugunsten oder für Rechnung einer anderen Person ein Finanzkonto unterhält, gilt nicht als Kontoinhaber im Sinne dieses Gesetzes, stattdessen gilt die andere Person als Kontoinhaber. Im Fall eines rückkaufsfähigen Versicherungsvertrags oder eines Rentenversicherungsvertrags ist der Kontoinhaber jede Person, die berechtigt ist, auf den Barwert zuzugreifen oder den Begünstigten des Vertrags zu ändern. Kann niemand auf den Barwert zugreifen oder den Begünstigten des Vertrags ändern, so ist der Kontoinhaber jede Person, die im Vertrag als Eigentümer genannt ist, und jede Person, die nach den Vertragsbedingungen einen unverfallbaren Zahlungsanspruch hat. Bei Fälligkeit eines rückkaufsfähigen Versicherungsvertrags oder eines Rentenversicherungsvertrags gilt jede Person, die vertragsgemäß einen Anspruch auf Erhalt einer Zahlung hat, als Kontoinhaber;</w:t>
      </w:r>
    </w:p>
    <w:p>
      <w:pPr>
        <w:ind w:left="420"/>
      </w:pPr>
      <w:r>
        <w:t xml:space="preserve">2. Verfahren zur Bekämpfung der Geldwäsche und Kundensorgfaltspflichten (AML/KYC – Anti-Money Laundering/Know-your-Customer): die Verfahren eines meldenden Finanzinstituts zur Erfüllung der Sorgfaltspflichten gegenüber Kunden nach den Auflagen zur Geldwäschebekämpfung und ähnlichen Vorschriften, denen dieses meldende Finanzinstitut unterliegt;</w:t>
      </w:r>
    </w:p>
    <w:p>
      <w:pPr>
        <w:ind w:left="420"/>
      </w:pPr>
      <w:r>
        <w:t xml:space="preserve">3. Rechtsträger: eine juristische Person oder ein Rechtsgebilde wie zum Beispiel eine Kapitalgesellschaft, eine Personengesellschaft, ein Trust oder eine Stiftung;</w:t>
      </w:r>
    </w:p>
    <w:p>
      <w:pPr>
        <w:ind w:left="420"/>
      </w:pPr>
      <w:r>
        <w:t xml:space="preserve">4. ein Rechtsträger: ein verbundener Rechtsträger eines anderen Rechtsträgers, wenn</w:t>
      </w:r>
    </w:p>
    <w:p>
      <w:pPr>
        <w:ind w:left="780"/>
      </w:pPr>
      <w:r>
        <w:t xml:space="preserve">a) einer der beiden Rechtsträger den anderen beherrscht,</w:t>
      </w:r>
    </w:p>
    <w:p>
      <w:pPr>
        <w:ind w:left="780"/>
      </w:pPr>
      <w:r>
        <w:t xml:space="preserve">b) die beiden Rechtsträger der gleichen Beherrschung unterliegen oder</w:t>
      </w:r>
    </w:p>
    <w:p>
      <w:pPr>
        <w:ind w:left="780"/>
      </w:pPr>
      <w:r>
        <w:t xml:space="preserve">c) die beiden Rechtsträger Investmentunternehmen im Sinne des § 19 Nummer 6 Satz 1 Buchstabe b sind, eine gemeinsame Geschäftsleitung haben und diese Geschäftsleitung die Sorgfaltspflichten solcher Investmentunternehmen einhält. Für diesen Zweck umfasst Beherrschung unmittelbares oder mittelbares Eigentum an mehr als 50 Prozent der Stimmrechte und des Wertes eines Rechtsträgers;</w:t>
      </w:r>
    </w:p>
    <w:p>
      <w:pPr>
        <w:ind w:left="420"/>
      </w:pPr>
      <w:r>
        <w:t xml:space="preserve">5. Steueridentifikationsnummer: die Identifikationsnummer eines Steuerpflichtigen oder die funktionale Entsprechung, wenn keine Steueridentifikationsnummer vorhanden ist;</w:t>
      </w:r>
    </w:p>
    <w:p>
      <w:pPr>
        <w:ind w:left="420"/>
      </w:pPr>
      <w:r>
        <w:t xml:space="preserve">6. Belege: umfassen folgende Dokumente:</w:t>
      </w:r>
    </w:p>
    <w:p>
      <w:pPr>
        <w:ind w:left="780"/>
      </w:pPr>
      <w:r>
        <w:t xml:space="preserve">a) eine Ansässigkeitsbescheinigung, ausgestellt von einer autorisierten staatlichen Stelle, wie beispielsweise einer Regierung oder einer ihrer Behörden oder einer Gemeinde des Staates, in dem der Zahlungsempfänger ansässig zu sein behauptet,</w:t>
      </w:r>
    </w:p>
    <w:p>
      <w:pPr>
        <w:ind w:left="780"/>
      </w:pPr>
      <w:r>
        <w:t xml:space="preserve">b) bei einer natürlichen Person einen von einer autorisierten staatlichen Stelle (zum Beispiel einer Regierung oder einer ihrer Behörden oder einer Gemeinde) ausgestellten gültigen Ausweis, der den Namen der natürlichen Person enthält und normalerweise zur Feststellung der Identität verwendet wird,</w:t>
      </w:r>
    </w:p>
    <w:p>
      <w:pPr>
        <w:ind w:left="780"/>
      </w:pPr>
      <w:r>
        <w:t xml:space="preserve">c) bei einem Rechtsträger ein von einer autorisierten staatlichen Stelle (zum Beispiel einer Regierung oder einer ihrer Behörden oder einer Gemeinde) ausgestelltes amtliches Dokument, das den Namen des Rechtsträgers enthält sowie entweder die Anschrift seines Hauptsitzes in dem Staat, in dem er ansässig zu sein behauptet, oder den Staat, in dem der Rechtsträger eingetragen oder gegründet wurde,</w:t>
      </w:r>
    </w:p>
    <w:p>
      <w:pPr>
        <w:ind w:left="780"/>
      </w:pPr>
      <w:r>
        <w:t xml:space="preserve">d) ein geprüfter Jahresabschluss, eine Kreditauskunft eines Dritten, ein Insolvenzantrag oder ein Bericht der Börsenaufsichtsbehörde.</w:t>
      </w:r>
    </w:p>
    <w:p>
      <w:pPr>
        <w:ind w:left="420"/>
      </w:pPr>
      <w:r>
        <w:t xml:space="preserve">Bei bestehenden Konten von Rechtsträgern kann ein meldendes Finanzinstitut als Beleg jede Einstufung in seinen Unterlagen in Bezug auf den Kontoinhaber verwenden, die auf der Grundlage eines standardisierten Branchenkodierungssystems ermittelt wurde, welches das meldende Finanzinstitut im Einklang mit seiner üblichen Geschäftspraxis für die Zwecke von Verfahren zur Bekämpfung der Geldwäsche und Kundensorgfaltspflichten (AML/KYC – Anti-Money Laundering/Know-your-Customer) oder zu anderen gesetzlichen Zwecken (außer zu Steuerzwecken) dokumentiert und vor dem Datum eingeführt hat, an dem das Finanzkonto als bestehendes Konto eingestuft wurde, sofern dem meldenden Finanzinstitut nicht bekannt ist oder nicht bekannt sein müsste, dass diese Einstufung nicht zutreffend oder unglaubwürdig ist. Der Ausdruck standardisiertes Branchenkodierungssystem bedeutet ein Kodierungssystem, das zur Einstufung von Einrichtungen nach Art der Geschäftstätigkeit zu anderen Zwecken als zu Steuerzwecken verwendet wird.</w:t>
      </w:r>
    </w:p>
    <w:p>
      <w:r>
        <w:rPr>
          <w:color w:val="555555"/>
          <w:sz w:val="17"/>
        </w:rPr>
        <w:t xml:space="preserve">Zitiervorschlag: § 20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