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FKAustG — Konten von geringerem Wert</w:t>
      </w:r>
    </w:p>
    <w:p>
      <w:r>
        <w:rPr>
          <w:color w:val="555555"/>
          <w:sz w:val="18"/>
        </w:rPr>
        <w:t xml:space="preserve">Finanzkonten-Informationsaustauschgesetz</w:t>
      </w:r>
    </w:p>
    <w:p>
      <w:r>
        <w:rPr>
          <w:color w:val="555555"/>
          <w:sz w:val="18"/>
        </w:rPr>
        <w:t xml:space="preserve">Stand: 10.12.2024 (konsolidierte Textfassung, kein amtliches Inkrafttretensdatum)</w:t>
      </w:r>
    </w:p>
    <w:p>
      <w:r>
        <w:t xml:space="preserve">(1) Für Konten von geringerem Wert gilt:</w:t>
      </w:r>
    </w:p>
    <w:p>
      <w:pPr>
        <w:ind w:left="420"/>
      </w:pPr>
      <w:r>
        <w:t xml:space="preserve">1. Hausanschrift: liegt dem meldenden Finanzinstitut anhand der erfassten Belege eine aktuelle Hausanschrift der natürlichen Person vor, die Kontoinhaber ist, kann das meldende Finanzinstitut die natürliche Person, die Kontoinhaber ist, zur Feststellung, ob diese Person, die Kontoinhaber ist, eine meldepflichtige Person ist, als in dem Staat steuerlich ansässig behandeln, in dem die Anschrift liegt;</w:t>
      </w:r>
    </w:p>
    <w:p>
      <w:pPr>
        <w:ind w:left="420"/>
      </w:pPr>
      <w:r>
        <w:t xml:space="preserve">2. Suche in elektronischen Datensätzen: verlässt sich das meldende Finanzinstitut hinsichtlich einer aktuellen Hausanschrift der natürlichen Person, die Kontoinhaber ist, nicht auf erfasste Belege nach Nummer 1, muss das meldende Finanzinstitut seine elektronisch durchsuchbaren Daten auf folgende Indizien überprüfen und die Absätze 2 und 3 anwenden:</w:t>
      </w:r>
    </w:p>
    <w:p>
      <w:pPr>
        <w:ind w:left="780"/>
      </w:pPr>
      <w:r>
        <w:t xml:space="preserve">a) die Identifizierung des Kontoinhabers als Ansässiger eines meldepflichtigen Staates im Sinne des § 1 Absatz 1,</w:t>
      </w:r>
    </w:p>
    <w:p>
      <w:pPr>
        <w:ind w:left="780"/>
      </w:pPr>
      <w:r>
        <w:t xml:space="preserve">b) die aktuelle Post- oder die Hausanschrift einschließlich einer Postfachanschrift in einem meldepflichtigen Staat im Sinne des § 1 Absatz 1,</w:t>
      </w:r>
    </w:p>
    <w:p>
      <w:pPr>
        <w:ind w:left="780"/>
      </w:pPr>
      <w:r>
        <w:t xml:space="preserve">c) eine oder mehrere Telefonnummern in einem meldepflichtigen Staat und keine Telefonnummer in der Bundesrepublik Deutschland,</w:t>
      </w:r>
    </w:p>
    <w:p>
      <w:pPr>
        <w:ind w:left="780"/>
      </w:pPr>
      <w:r>
        <w:t xml:space="preserve">d) ein Dauerauftrag, ausgenommen bei Einlagenkonten, für Überweisungen auf ein in einem meldepflichtigen Staat im Sinne des § 1 Absatz 1 geführtes Konto,</w:t>
      </w:r>
    </w:p>
    <w:p>
      <w:pPr>
        <w:ind w:left="780"/>
      </w:pPr>
      <w:r>
        <w:t xml:space="preserve">e) eine aktuell gültige, an eine Person mit einer Anschrift in einem meldepflichtigen Staat im Sinne des § 1 Absatz 1 erteilte Vollmacht oder Zeichnungsberechtigung oder</w:t>
      </w:r>
    </w:p>
    <w:p>
      <w:pPr>
        <w:ind w:left="780"/>
      </w:pPr>
      <w:r>
        <w:t xml:space="preserve">f) ein Postlagerungsauftrag oder eine c/o-Anschrift in einem meldepflichtigen Staat im Sinne des § 1 Absatz 1, sofern dem meldenden Finanzinstitut keine andere Anschrift des Kontoinhabers vorliegt.</w:t>
      </w:r>
    </w:p>
    <w:p>
      <w:r>
        <w:t xml:space="preserve">Werden bei der elektronischen Suche keine Indizien im Sinne des Satzes 1 Nummer 2 festgestellt, sind keine weiteren Maßnahmen erforderlich, bis eine Änderung der Gegebenheiten eintritt, die dazu führt, dass dem Konto ein oder mehrere Indizien zugeordnet werden können oder das Konto zu einem Konto von hohem Wert wird. Werden bei der elektronischen Suche Indizien im Sinne des Satzes 1 Nummer 2 Buchstabe a bis e festgestellt oder tritt eine Änderung der Gegebenheiten ein, die dazu führt, dass dem Konto ein oder mehrere Indizien zugeordnet werden können, muss das meldende Finanzinstitut den Kontoinhaber als steuerlich ansässige Person in jedem meldepflichtigen Staat im Sinne des § 1 Absatz 1, für den ein Indiz identifiziert wird, betrachten, es sei denn, das meldende Finanzinstitut entscheidet sich für die Anwendung des Absatzes 3 und eine der dort genannten Ausnahmen trifft auf dieses Konto zu.</w:t>
      </w:r>
    </w:p>
    <w:p>
      <w:r>
        <w:t xml:space="preserve">(2) Werden bei der elektronischen Suche nach Absatz 1 Satz 1 Nummer 2 ein Postlagerungsauftrag oder eine c/o-Anschrift und keine andere Anschrift und keine der in Absatz 1 Satz 1 Nummer 2 Buchstabe a bis e aufgeführten Indizien für den Kontoinhaber festgestellt, muss das meldende Finanzinstitut in der jeweils geeignetsten Reihenfolge die in § 12 Absatz 1 Satz 1 Nummer 2 beschriebene Suche in Papierunterlagen anwenden oder versuchen, vom Kontoinhaber eine Selbstauskunft oder Belege zu beschaffen, um die steuerliche Ansässigkeit oder steuerlichen Ansässigkeiten des Kontoinhabers festzustellen. Wird bei der Suche in Papierunterlagen kein Indiz festgestellt und ist der Versuch, eine Selbstauskunft oder Belege zu beschaffen, erfolglos, muss das meldende Finanzinstitut dem Bundeszentralamt für Steuern das Konto als nicht dokumentiertes Konto melden.</w:t>
      </w:r>
    </w:p>
    <w:p>
      <w:r>
        <w:t xml:space="preserve">(3) Ungeachtet der Feststellung von Indizien nach Absatz 1 Satz 1 Nummer 2 muss ein meldendes Finanzinstitut einen Kontoinhaber in den folgenden Fällen nicht als in einem meldepflichtigen Staat im Sinne des § 1 Absatz 1 ansässige Person betrachten:</w:t>
      </w:r>
    </w:p>
    <w:p>
      <w:pPr>
        <w:ind w:left="420"/>
      </w:pPr>
      <w:r>
        <w:t xml:space="preserve">1. die Daten des Kontoinhabers enthalten eine aktuelle Post- oder eine Hausanschrift in jenem meldepflichtigen Staat im Sinne des § 1 Absatz 1, eine oder mehrere Telefonnummern in jenem meldepflichtigen Staat im Sinne des § 1 Absatz 1 und keine Telefonnummer in der Bundesrepublik Deutschland oder einen Dauerauftrag, bei Finanzkonten mit Ausnahme von Einlagenkonten, für Überweisungen auf ein in einem meldepflichtigen Staat im Sinne des § 1 Absatz 1 geführtes Konto und das meldende Finanzinstitut beschafft die nachstehenden Dokumente oder hat diese bereits geprüft und erfasst:</w:t>
      </w:r>
    </w:p>
    <w:p>
      <w:pPr>
        <w:ind w:left="780"/>
      </w:pPr>
      <w:r>
        <w:t xml:space="preserve">a) eine Selbstauskunft des Kontoinhabers über seinen Ansässigkeitsstaat oder seine Ansässigkeitsstaaten, die jenen meldepflichtigen Staat nicht umfassen, und</w:t>
      </w:r>
    </w:p>
    <w:p>
      <w:pPr>
        <w:ind w:left="780"/>
      </w:pPr>
      <w:r>
        <w:t xml:space="preserve">b) Belege für den nicht meldepflichtigen Status des Kontoinhabers;</w:t>
      </w:r>
    </w:p>
    <w:p>
      <w:pPr>
        <w:ind w:left="420"/>
      </w:pPr>
      <w:r>
        <w:t xml:space="preserve">2. die Daten des Kontoinhabers beinhalten eine aktuell gültige, an eine Person mit Anschrift in jenem Staat erteilte Vollmacht oder Zeichnungsberechtigung und das meldende Finanzinstitut beschafft die nachstehenden Dokumente oder hat diese bereits geprüft und erfasst:</w:t>
      </w:r>
    </w:p>
    <w:p>
      <w:pPr>
        <w:ind w:left="780"/>
      </w:pPr>
      <w:r>
        <w:t xml:space="preserve">a) eine Selbstauskunft des Kontoinhabers über seinen Ansässigkeitsstaat oder seine Ansässigkeitsstaaten, die nicht meldepflichtige Staaten umfassen, oder</w:t>
      </w:r>
    </w:p>
    <w:p>
      <w:pPr>
        <w:ind w:left="780"/>
      </w:pPr>
      <w:r>
        <w:t xml:space="preserve">b) Belege für den nicht meldepflichtigen Status des Kontoinhabers.</w:t>
      </w:r>
    </w:p>
    <w:p>
      <w:r>
        <w:t xml:space="preserve">(4) Die Überprüfung von bestehenden Konten von geringerem Wert natürlicher Personen muss vom meldenden Finanzinstitut bis zum 31. Dezember 2017 abgeschlossen sein. Hat das meldende Finanzinstitut die Überprüfung nicht bis zum 6. Dezember 2024 abgeschlossen, ist es verpflichtet, diese bis zum 31. Dezember 2025 nachzuholen.</w:t>
      </w:r>
    </w:p>
    <w:p>
      <w:r>
        <w:rPr>
          <w:color w:val="555555"/>
          <w:sz w:val="17"/>
        </w:rPr>
        <w:t xml:space="preserve">Zitiervorschlag: § 11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