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FKAustG — Anwendungsbereich</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(1) Dieses Gesetz gilt für den automatischen Austausch von Informationen über Finanzkonten in Steuersachen mit</w:t>
      </w:r>
    </w:p>
    <w:p>
      <w:pPr>
        <w:ind w:left="420"/>
      </w:pPr>
      <w:r>
        <w:t xml:space="preserve">1. Mitgliedstaaten der Europäischen Union aufgrund der Richtlinie 2011/16/EU,</w:t>
      </w:r>
    </w:p>
    <w:p>
      <w:pPr>
        <w:ind w:left="420"/>
      </w:pPr>
      <w:r>
        <w:t xml:space="preserve">2. Drittstaaten, die Vertragsparteien der von der Bundesrepublik Deutschland in Berlin unterzeichneten Mehrseitigen Vereinbarung vom 29. Oktober 2014 zwischen den zuständigen Behörden über den automatischen Austausch von Informationen über Finanzkonten (BGBl. 2015 II S. 1630, 1632) sind und diese in ihr nationales Recht verpflichtend aufgenommen haben sowie Vertragsparteien des Übereinkommens über die gegenseitige Amtshilfe in Steuersachen (BGBl. 2015 II S. 966, 967) sind und die gewährleisten, dass sie die Voraussetzungen des § 7 Absatz 1, insbesondere Buchstabe e der Mehrseitigen Vereinbarung vom 29. Oktober 2014 zwischen den zuständigen Behörden über den automatischen Austausch von Informationen über Finanzkonten erfüllen,</w:t>
      </w:r>
    </w:p>
    <w:p>
      <w:pPr>
        <w:ind w:left="420"/>
      </w:pPr>
      <w:r>
        <w:t xml:space="preserve">3. Drittstaaten, die die Voraussetzungen nach Nummer 2 erfüllen und zudem Vertragsparteien der von der Bundesrepublik Deutschland in Asunción unterzeichneten Zusatzvereinbarung vom 26. November 2024 zur Mehrseitigen Vereinbarung vom 29. Oktober 2014 zwischen den zuständigen Behörden über den automatischen Austausch von Informationen über Finanzkonten sind und diese in ihr nationales Recht verpflichtend aufgenommen haben und die gewährleisten, dass sie die Voraussetzungen des § 2 Absatz 2 der Zusatzvereinbarung vom 26. November 2024 zur Mehrseitigen Vereinbarung vom 29. Oktober 2014 zwischen den zuständigen Behörden über den automatischen Austausch von Informationen über Finanzkonten erfüllen,</w:t>
      </w:r>
    </w:p>
    <w:p>
      <w:pPr>
        <w:ind w:left="420"/>
      </w:pPr>
      <w:r>
        <w:t xml:space="preserve">4. Drittstaaten, die Verträge mit der Europäischen Union zur Vereinbarung des automatischen Austauschs von Informationen über Finanzkonten im Sinne der unter Nummer 1 angeführten Richtlinie geschlossen haben, sowie</w:t>
      </w:r>
    </w:p>
    <w:p>
      <w:pPr>
        <w:ind w:left="420"/>
      </w:pPr>
      <w:r>
        <w:t xml:space="preserve">5. Drittstaaten, mit denen die Bundesrepublik Deutschland ein Abkommen über den steuerlichen Informationsaustausch geschlossen hat, nach dem ein automatischer Austausch von Informationen vereinbart werden kann.</w:t>
      </w:r>
    </w:p>
    <w:p>
      <w:r>
        <w:t xml:space="preserve">(2) Für die Durchführung der Melde- und Sorgfaltspflichten gelten die in § 19 angeführten Begriffsbestimmungen und die sonstigen Begriffsbestimmungen nach § 20.</w:t>
      </w:r>
    </w:p>
    <w:p>
      <w:r>
        <w:rPr>
          <w:color w:val="555555"/>
          <w:sz w:val="17"/>
        </w:rPr>
        <w:t xml:space="preserve">Zitiervorschlag: § 1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