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FKAG — Ermittlung eines Finanzkonglomerats</w:t>
      </w:r>
    </w:p>
    <w:p>
      <w:r>
        <w:rPr>
          <w:color w:val="555555"/>
          <w:sz w:val="18"/>
        </w:rPr>
        <w:t xml:space="preserve">Finanzkonglomerate-Aufsichtsgesetz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Bundesanstalt ermittelt, ob eine branchenübergreifend tätige Gruppe als Finanzkonglomerat einzustufen ist.</w:t>
      </w:r>
    </w:p>
    <w:p>
      <w:r>
        <w:t xml:space="preserve">(2) Gelangt die Bundesanstalt zu der Auffassung, dass ein von ihr beaufsichtigtes Unternehmen im Sinne des § 2 Absatz 1 Nummer 1 bis 5 einer grenzüberschreitend tätigen Gruppe angehört, die ein Finanzkonglomerat sein könnte, teilt sie dies den zuständigen Behörden in den betroffenen Staaten des Europäischen Wirtschaftsraums und dem Gemeinsamen Ausschuss mit.</w:t>
      </w:r>
    </w:p>
    <w:p>
      <w:r>
        <w:rPr>
          <w:color w:val="555555"/>
          <w:sz w:val="17"/>
        </w:rPr>
        <w:t xml:space="preserve">Zitiervorschlag: § 6 FKAG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https://recht.nulegal.eu/gesetze/FKAG/6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