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FKAG — Bußgeldvorschriften</w:t>
      </w:r>
    </w:p>
    <w:p>
      <w:r>
        <w:rPr>
          <w:color w:val="555555"/>
          <w:sz w:val="18"/>
        </w:rPr>
        <w:t xml:space="preserve">Finanzkonglomerate-Aufsichtsgesetz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leichtfertig entgegen § 28 Absatz 5 Satz 1 eine Anzeige nicht, nicht richtig, nicht vollständig oder nicht rechtzeitig erstattet.</w:t>
      </w:r>
    </w:p>
    <w:p>
      <w:r>
        <w:t xml:space="preserve">(2) Die Ordnungswidrigkeit kann mit einer Geldbuße bis zu zweihunderttausend Euro geahndet werden.</w:t>
      </w:r>
    </w:p>
    <w:p>
      <w:r>
        <w:rPr>
          <w:color w:val="555555"/>
          <w:sz w:val="17"/>
        </w:rPr>
        <w:t xml:space="preserve">Zitiervorschlag: § 32 FKAG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https://recht.nulegal.eu/gesetze/FKAG/32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