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FKAG — Sofortige Vollziehbarkeit</w:t>
      </w:r>
    </w:p>
    <w:p>
      <w:r>
        <w:rPr>
          <w:color w:val="555555"/>
          <w:sz w:val="18"/>
        </w:rPr>
        <w:t xml:space="preserve">Finanzkonglomerate-Aufsichtsgesetz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Widerspruch und Anfechtungsklage gegen Maßnahmen nach den §§ 21, 23 Absatz 4, § 28 Absatz 1 und § 29 Absatz 1 und 2 haben keine aufschiebende Wirkung.</w:t>
      </w:r>
    </w:p>
    <w:p>
      <w:r>
        <w:rPr>
          <w:color w:val="555555"/>
          <w:sz w:val="17"/>
        </w:rPr>
        <w:t xml:space="preserve">Zitiervorschlag: § 31 FKAG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https://recht.nulegal.eu/gesetze/FKAG/31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