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FKAG — Maßnahmen bei unzureichenden Eigenmitteln auf Konglomeratsebene</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Entsprechen bei einem Finanzkonglomerat die Eigenmittel nicht den Anforderungen des § 17 Absatz 1, kann die Bundesanstalt gegenüber</w:t>
      </w:r>
    </w:p>
    <w:p>
      <w:pPr>
        <w:ind w:left="420"/>
      </w:pPr>
      <w:r>
        <w:t xml:space="preserve">1. dem übergeordneten Unternehmen des Finanzkonglomerats, den in § 1 Absatz 2 Satz 1 oder § 2d Absatz 1 des Kreditwesengesetzes oder den in § 24 Absatz 2 Satz 2, auch in Verbindung mit § 293 Absatz 1 des Versicherungsaufsichtsgesetzes genannten Personen dieses Unternehmens oder den dieses Unternehmen kontrollierenden Personen die erforderlichen und geeigneten Maßnahmen treffen; sie kann insbesondere einen Sanierungsplan oder einen Finanzierungsplan verlangen, die freie Verfügung über die Vermögensgegenstände des Unternehmens einschränken oder untersagen und bilanzielle Maßnahmen untersagen oder beschränken, die dazu dienen, einen entstandenen Jahresfehlbetrag auszugleichen oder einen Bilanzgewinn auszuweisen;</w:t>
      </w:r>
    </w:p>
    <w:p>
      <w:pPr>
        <w:ind w:left="420"/>
      </w:pPr>
      <w:r>
        <w:t xml:space="preserve">2. der gemischten Finanzholding-Gesellschaft die erforderlichen und geeigneten Maßnahmen treffen; sie kann insbesondere Entnahmen durch Inhaber oder Gesellschafter und die Ausschüttung von Gewinnen untersagen oder beschränken.</w:t>
      </w:r>
    </w:p>
    <w:p>
      <w:r>
        <w:t xml:space="preserve">(2) Die Bundesanstalt darf die in Absatz 1 bezeichneten Maßnahmen erst treffen, wenn das übergeordnete Unternehmen des Finanzkonglomerats oder die in Absatz 1 Nummer 1 genannten Personen dieses Unternehmens oder die gemischte Finanzholding-Gesellschaft den Mangel nicht innerhalb einer von der Bundesanstalt zu bestimmenden Frist behoben hat. Beschlüsse über die Gewinnausschüttung sind insoweit nichtig, als sie einer Anordnung nach Absatz 1 Nummer 2 widersprechen.</w:t>
      </w:r>
    </w:p>
    <w:p>
      <w:r>
        <w:rPr>
          <w:color w:val="555555"/>
          <w:sz w:val="17"/>
        </w:rPr>
        <w:t xml:space="preserve">Zitiervorschlag: § 21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