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FKAG — Freistellung von den Eigenmittelanforderungen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Bundesanstalt kann ein übergeordnetes Unternehmen eines Finanzkonglomerats auf dessen Antrag oder von Amts wegen von den Eigenmittelanforderungen der §§ 17 und 18 hinsichtlich einzelner nachgeordneter Unternehmen eines Finanzkonglomerats widerruflich freistellen, wenn</w:t>
      </w:r>
    </w:p>
    <w:p>
      <w:pPr>
        <w:ind w:left="420"/>
      </w:pPr>
      <w:r>
        <w:t xml:space="preserve">1. sich das Unternehmen in einem Drittstaat befindet, in dem der Übermittlung der notwendigen Informationen Hindernisse entgegenstehen,</w:t>
      </w:r>
    </w:p>
    <w:p>
      <w:pPr>
        <w:ind w:left="420"/>
      </w:pPr>
      <w:r>
        <w:t xml:space="preserve">2. das Unternehmen im Hinblick auf die Ziele der zusätzlichen Aufsicht auf Konglomeratsebene von untergeordneter Bedeutung ist,</w:t>
      </w:r>
    </w:p>
    <w:p>
      <w:pPr>
        <w:ind w:left="420"/>
      </w:pPr>
      <w:r>
        <w:t xml:space="preserve">3. die Einbeziehung des Unternehmens im Hinblick auf die Ziele der zusätzlichen Beaufsichtigung ungeeignet oder irreführend wäre.</w:t>
      </w:r>
    </w:p>
    <w:p>
      <w:r>
        <w:t xml:space="preserve">(2) Erfüllen mehrere nachgeordnete Unternehmen des Finanzkonglomerats für sich genommen die Voraussetzungen von Absatz 1 Nummer 2, scheidet eine Freistellung aus, wenn die Unternehmen insgesamt im Hinblick auf die Ziele der zusätzlichen Beaufsichtigung nicht von untergeordneter Bedeutung sind.</w:t>
      </w:r>
    </w:p>
    <w:p>
      <w:r>
        <w:rPr>
          <w:color w:val="555555"/>
          <w:sz w:val="17"/>
        </w:rPr>
        <w:t xml:space="preserve">Zitiervorschlag: § 19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