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FKAG — Eigenmittelausstattung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Finanzkonglomerat muss auf Konglomeratsebene angemessene Eigenmittel haben.</w:t>
      </w:r>
    </w:p>
    <w:p>
      <w:r>
        <w:t xml:space="preserve">(2) Die Bundesanstalt überprüft, ob die Eigenmittelausstattung des Finanzkonglomerats angemessen ist. Das übergeordnete Unternehmen eines Finanzkonglomerats hat der Bundesanstalt und der Deutschen Bundesbank die hierfür erforderlichen Angaben einzureichen.</w:t>
      </w:r>
    </w:p>
    <w:p>
      <w:r>
        <w:rPr>
          <w:color w:val="555555"/>
          <w:sz w:val="17"/>
        </w:rPr>
        <w:t xml:space="preserve">Zitiervorschlag: § 17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