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FKAG — Bezugnahme auf Bilanzsumme oder auf Solvabilitätsanforderungen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Soweit in den §§ 7 bis 13 auf die Bilanzsumme Bezug genommen wird, ist von der anhand der einzelnen Jahresabschlüsse ermittelten aggregierten Bilanzsumme der Unternehmen der Gruppe auszugehen. Unternehmen, an denen eine Beteiligung gehalten wird, werden in Höhe des Anteils ihrer Bilanzsumme berücksichtigt, der dem von der Gruppe gehaltenen aggregierten proportionalen Anteil entspricht. Liegt ein konsolidierter Abschluss vor, ist abweichend von Satz 1 dieser maßgebend.</w:t>
      </w:r>
    </w:p>
    <w:p>
      <w:r>
        <w:t xml:space="preserve">(2) Soweit in § 8 auf Solvabilitätsanforderungen Bezug genommen wird, sind diese nach den §§ 89 und 250 des Versicherungsaufsichtsgesetzes sowie den Artikel 11 bis 386 der Verordnung (EU) Nr. 575/2013 zu ermitteln. Ist ein Unternehmen mit Sitz in einem anderen Staat des Europäischen Wirtschaftsraums einzubeziehen, das nicht bereits von der Berechnung nach § 104g des Versicherungsaufsichtsgesetzes oder § 10a des Kreditwesengesetzes in Verbindung mit den Artikeln 11 bis 24 der Verordnung (EU) Nr. 575/2013 erfasst wird, sind die Solvabilitätsanforderungen des Sitzstaates maßgebend; dies gilt entsprechend für Unternehmen mit Sitz in einem Drittstaat, wenn dort gleichwertige Solvabilitätsanforderungen bestehen.</w:t>
      </w:r>
    </w:p>
    <w:p>
      <w:r>
        <w:rPr>
          <w:color w:val="555555"/>
          <w:sz w:val="17"/>
        </w:rPr>
        <w:t xml:space="preserve">Zitiervorschlag: § 16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