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FKAG — Erweiterung der zusätzlichen Beaufsichtigung</w:t>
      </w:r>
    </w:p>
    <w:p>
      <w:r>
        <w:rPr>
          <w:color w:val="555555"/>
          <w:sz w:val="18"/>
        </w:rPr>
        <w:t xml:space="preserve">Finanzkonglomerate-Aufsichtsgesetz</w:t>
      </w:r>
    </w:p>
    <w:p>
      <w:r>
        <w:rPr>
          <w:color w:val="555555"/>
          <w:sz w:val="18"/>
        </w:rPr>
        <w:t xml:space="preserve">Stand: 10.06.2019 (konsolidierte Textfassung, kein amtliches Inkrafttretensdatum)</w:t>
      </w:r>
    </w:p>
    <w:p>
      <w:r>
        <w:t xml:space="preserve">(1) Die Bundesanstalt kann im Einvernehmen mit den jeweils zuständigen Behörden über die Fälle des § 1 Absatz 2, § 12 Absatz 2 Satz 2 oder des Absatzes 3 hinaus nach Maßgabe des Artikels 2 Nummer 14, der Artikel 3 und 5 der Richtlinie 2002/87/EG eine branchenübergreifend tätige Gruppe als Finanzkonglomerat und ein beaufsichtigtes Unternehmen eines Finanzkonglomerats als übergeordnetes Unternehmen bestimmen. Die Vorschriften dieses Gesetzes sind in diesem Fall entsprechend anzuwenden.</w:t>
      </w:r>
    </w:p>
    <w:p>
      <w:r>
        <w:t xml:space="preserve">(2) Liegt kein Finanzkonglomerat vor, bestehen jedoch Beteiligungen an mindestens einem beaufsichtigten Unternehmen eines Finanzkonglomerats oder Kapitalbeziehungen zu einem solchen Unternehmen oder kann auf ein solches Unternehmen ein beherrschender Einfluss ausgeübt werden, kann die Bundesanstalt im Einvernehmen mit den jeweils zuständigen Behörden die Vorschriften dieses Gesetzes auf diese Unternehmen ganz oder teilweise entsprechend anwenden, wenn die in § 1 Absatz 2 Satz 1 Nummer 2 und 3 genannten Bedingungen erfüllt sind; in diesem Fall bestimmt die Bundesanstalt eines dieser Unternehmen als übergeordnetes Unternehmen eines Finanzkonglomerats. Die Bundesanstalt trifft ihre Entscheidung unter Berücksichtigung der Ziele der zusätzlichen Beaufsichtigung.</w:t>
      </w:r>
    </w:p>
    <w:p>
      <w:r>
        <w:t xml:space="preserve">(3) Unterliegen beaufsichtigte Unternehmen eines Finanzkonglomerats mit Sitz im Inland, die Tochterunternehmen eines beaufsichtigten Unternehmens eines Finanzkonglomerats oder einer gemischten Finanzholding-Gesellschaft mit Sitz in einem Drittstaat sind, in dem Drittstaat keiner Beaufsichtigung, die der Beaufsichtigung nach diesem Gesetz gleichwertig ist, kann die Bundesanstalt die Gruppe als Finanzkonglomerat und ein beaufsichtigtes Unternehmen eines Finanzkonglomerats als übergeordnetes Unternehmen bestimmen. Die Vorschriften dieses Gesetzes sind in diesem Fall entsprechend anzuwenden. Ist die Bundesanstalt nicht mit der von einer jeweils zuständigen Behörde im Sinne des Artikels 18 Absatz 1 der Richtlinie 2002/87/EG getroffenen Entscheidung einverstanden, kann sie nach Maßgabe des Artikels 19 der Verordnung (EU) Nr. 1093/2010, der Verordnung (EU) Nr. 1094/2010 oder der Verordnung (EU) Nr. 1095/2010 die Europäische Bankenaufsichtsbehörde, die Europäische Aufsichtsbehörde für das Versicherungswesen und die betriebliche Altersversorgung oder die Europäische Wertpapier- und Marktaufsichtsbehörde um Hilfe ersuchen.</w:t>
      </w:r>
    </w:p>
    <w:p>
      <w:r>
        <w:t xml:space="preserve">(4) Die Bundesanstalt kann abweichend von Absatz 3 im Einzelfall einer angemessenen Beaufsichtigung auf Konglomeratsebene in anderer Weise Rechnung tragen. Sie kann insbesondere verlangen, dass eine gemischte Finanzholding-Gesellschaft mit Sitz im Inland oder in einem anderen Staat des Europäischen Wirtschaftsraums gegründet wird. Die Vorschriften dieses Gesetzes sind in diesem Fall entsprechend anzuwenden.</w:t>
      </w:r>
    </w:p>
    <w:p>
      <w:r>
        <w:t xml:space="preserve">(5) Wenn ein anderer Staat des Europäischen Wirtschaftsraums betroffen ist, trifft die Bundesanstalt Entscheidungen nach Absatz 4 im Einvernehmen mit dem Koordinator.</w:t>
      </w:r>
    </w:p>
    <w:p>
      <w:r>
        <w:rPr>
          <w:color w:val="555555"/>
          <w:sz w:val="17"/>
        </w:rPr>
        <w:t xml:space="preserve">Zitiervorschlag: § 15 FKAG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https://recht.nulegal.eu/gesetze/FKAG/15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