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FKAG — Befreiung und Freistellung von der zusätzlichen Beaufsichtigung</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Auf Antrag des Mutterunternehmens an der Spitze der Gruppe kann die Bundesanstalt von der Feststellung, dass eine Gruppe ein Finanzkonglomerat ist, absehen (Befreiung) oder das übergeordnete Unternehmen des Finanzkonglomerats von den Verpflichtungen nach den §§ 23 bis 25 ganz oder teilweise freistellen, wenn</w:t>
      </w:r>
    </w:p>
    <w:p>
      <w:pPr>
        <w:ind w:left="420"/>
      </w:pPr>
      <w:r>
        <w:t xml:space="preserve">1. zwar die Bilanzsumme der am schwächsten vertretenen Branche 6 Milliarden Euro übersteigt, die Gruppe aber den in § 8 Absatz 1 Nummer 1 genannten Schwellenwert nicht erreicht und die Einbeziehung der Gruppe in die zusätzliche Beaufsichtigung auf Konglomeratsebene oder die Anwendung der §§ 23 bis 25 nicht erforderlich oder im Hinblick auf die Ziele der zusätzlichen Beaufsichtigung unangebracht oder irreführend wäre;</w:t>
      </w:r>
    </w:p>
    <w:p>
      <w:pPr>
        <w:ind w:left="420"/>
      </w:pPr>
      <w:r>
        <w:t xml:space="preserve">2. zwar die Gruppe den in § 8 Absatz 1 Nummer 1 genannten Schwellenwert erreicht, die Bilanzsumme der am schwächsten vertretenen Branche aber 6 Milliarden Euro nicht übersteigt und die Einbeziehung der Gruppe in die zusätzliche Beaufsichtigung auf Konglomeratsebene oder die Anwendung der §§ 23 bis 25 nicht erforderlich oder im Hinblick auf die Ziele der zusätzlichen Beaufsichtigung unangebracht oder irreführend wäre;</w:t>
      </w:r>
    </w:p>
    <w:p>
      <w:pPr>
        <w:ind w:left="420"/>
      </w:pPr>
      <w:r>
        <w:t xml:space="preserve">3. die Überschreitung der Schwellenwerte in den §§ 7 und 8 ausschließlich auf eine erhebliche Änderung der Struktur der Gruppe zurückzuführen ist; in diesem Fall ist die Befreiung auf höchstens drei Jahre, beginnend mit dem nächstfolgenden Geschäftsjahr, zu befristen.</w:t>
      </w:r>
    </w:p>
    <w:p>
      <w:r>
        <w:t xml:space="preserve">(2) Steht an der Spitze der Gruppe kein Mutterunternehmen, kann das beaufsichtigte Unternehmen des Finanzkonglomerats mit der höchsten Bilanzsumme innerhalb der Gruppe den Antrag stellen. In diesem Fall ist die Befreiung zu befristen.</w:t>
      </w:r>
    </w:p>
    <w:p>
      <w:r>
        <w:t xml:space="preserve">(3) Die Bundesanstalt kann eine Befreiung mit Wirkung für die Zukunft ganz oder teilweise widerrufen, wenn ein Grund für die Befreiung nachträglich entfällt.</w:t>
      </w:r>
    </w:p>
    <w:p>
      <w:r>
        <w:t xml:space="preserve">(4) Bei Finanzkonglomeraten, die grenzüberschreitend tätig sind, entscheidet die Bundesanstalt im Einvernehmen mit den jeweils zuständigen Behörden und teilt die Entscheidungen den zuständigen Behörden in den anderen betroffenen Staaten des Europäischen Wirtschaftsraums mit.</w:t>
      </w:r>
    </w:p>
    <w:p>
      <w:r>
        <w:t xml:space="preserve">(5) Die Bundesanstalt veröffentlicht die Entscheidungen, sofern keine außergewöhnlichen Umstände vorliegen.</w:t>
      </w:r>
    </w:p>
    <w:p>
      <w:r>
        <w:t xml:space="preserve">(6) Die Bundesanstalt bewertet jedes Jahr erneut die Befreiungen nach Absatz 1 und überprüft die quantitativen Indikatoren und die risikobasierten Einschätzungen der Gruppen.</w:t>
      </w:r>
    </w:p>
    <w:p>
      <w:r>
        <w:rPr>
          <w:color w:val="555555"/>
          <w:sz w:val="17"/>
        </w:rPr>
        <w:t xml:space="preserve">Zitiervorschlag: § 13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