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FKAG — Übergeordnetes Unternehmen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Übergeordnetes Unternehmen eines Finanzkonglomerats ist ein beaufsichtigtes Unternehmen des Finanzkonglomerats, das an der Spitze des Finanzkonglomerats steht und seinen Sitz im Inland hat.</w:t>
      </w:r>
    </w:p>
    <w:p>
      <w:r>
        <w:t xml:space="preserve">(2) Steht an der Spitze eines Finanzkonglomerats kein beaufsichtigtes Unternehmen mit Sitz im Inland und hat die gemischte Finanzholding-Gesellschaft ihren Sitz im Inland, bestimmt die Bundesanstalt ein beaufsichtigtes Tochterunternehmen mit Sitz im Inland als übergeordnetes Unternehmen des Finanzkonglomerats. Abweichend hiervon kann die Bundesanstalt die gemischte Finanzholding-Gesellschaft oder ein anderes beaufsichtigtes Unternehmen als übergeordnetes Unternehmen des Finanzkonglomerats bestimmen. Die Bundesanstalt berücksichtigt neben der Struktur des Finanzkonglomerats auch, ob die Banken- und Wertpapierdienstleistungsbranche oder die Versicherungsbranche stärker im Sinne des § 8 Absatz 2 vertreten ist. Das zu bestimmende Unternehmen ist vorab anzuhören.</w:t>
      </w:r>
    </w:p>
    <w:p>
      <w:r>
        <w:rPr>
          <w:color w:val="555555"/>
          <w:sz w:val="17"/>
        </w:rPr>
        <w:t xml:space="preserve">Zitiervorschlag: § 12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