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FKüAusbV — Gegenstand der Berufsausbildung und Ausbildungsrahmenplan</w:t>
      </w:r>
    </w:p>
    <w:p>
      <w:r>
        <w:rPr>
          <w:color w:val="555555"/>
          <w:sz w:val="18"/>
        </w:rPr>
        <w:t xml:space="preserve">Fachkraft-Küche-Ausbildungsverordnung</w:t>
      </w:r>
    </w:p>
    <w:p>
      <w:r>
        <w:rPr>
          <w:color w:val="555555"/>
          <w:sz w:val="18"/>
        </w:rPr>
        <w:t xml:space="preserve">Stand: 01.08.2022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4 FKüAusbV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https://recht.nulegal.eu/gesetze/FK%C3%BCAusbV/4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