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FKüAusbV — Inkrafttreten, Außerkrafttreten</w:t>
      </w:r>
    </w:p>
    <w:p>
      <w:r>
        <w:rPr>
          <w:color w:val="555555"/>
          <w:sz w:val="18"/>
        </w:rPr>
        <w:t xml:space="preserve">Fachkraft-Küche-Ausbildungsverordnung</w:t>
      </w:r>
    </w:p>
    <w:p>
      <w:r>
        <w:rPr>
          <w:color w:val="555555"/>
          <w:sz w:val="18"/>
        </w:rPr>
        <w:t xml:space="preserve">Stand: 01.08.2022 (konsolidierte Textfassung, kein amtliches Inkrafttretensdatum)</w:t>
      </w:r>
    </w:p>
    <w:p>
      <w:r>
        <w:t xml:space="preserve">Diese Verordnung tritt am 1. August 2022 in Kraft und mit Ablauf des 31. Juli 2029 außer Kraft.</w:t>
      </w:r>
    </w:p>
    <w:p>
      <w:r>
        <w:rPr>
          <w:color w:val="555555"/>
          <w:sz w:val="17"/>
        </w:rPr>
        <w:t xml:space="preserve">Zitiervorschlag: § 18 FKüAusbV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https://recht.nulegal.eu/gesetze/FK%C3%BCAusbV/18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