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FKüAusbV — Inhalt</w:t>
      </w:r>
    </w:p>
    <w:p>
      <w:r>
        <w:rPr>
          <w:color w:val="555555"/>
          <w:sz w:val="18"/>
        </w:rPr>
        <w:t xml:space="preserve">Fachkraft-Küche-Ausbildungsverordnung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11 FKüAusbV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https://recht.nulegal.eu/gesetze/FK%C3%BCAusbV/11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FKüAusbV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