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FIT-AÜVO (Nordrhein-Westfalen) — Ausschließlichkeit</w:t>
      </w:r>
    </w:p>
    <w:p>
      <w:r>
        <w:rPr>
          <w:color w:val="555555"/>
          <w:sz w:val="18"/>
        </w:rPr>
        <w:t xml:space="preserve">FIT-Aufgabenübertragungsverordnung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der Wahrnehmung der in § 1 aufgeführten Aufgaben und Geschäfte darf die Landesverwaltung Dritte nicht beauftragen. Die NRW.BANK darf sich bei der Erfüllung der Aufgaben und Geschäfte nach § 1 geeigneter Dritter bedienen.</w:t>
      </w:r>
    </w:p>
    <w:p>
      <w:r>
        <w:rPr>
          <w:color w:val="555555"/>
          <w:sz w:val="17"/>
        </w:rPr>
        <w:t xml:space="preserve">Zitiervorschlag: § 2 FIT-AÜVO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https://recht.nulegal.eu/gesetze/FIT-A%C3%9CVO/2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